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sz w:val="24"/>
          <w:szCs w:val="24"/>
        </w:rPr>
        <w:t>VALSTYBĖS ĮMONĖ „INDĖLIŲ IR INVESTICIJŲ DRAUDIMAS“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sz w:val="24"/>
          <w:szCs w:val="24"/>
        </w:rPr>
        <w:t>INDĖLIŲ DRAUDIMO IŠMOKŲ IR ĮSIPAREIGOJIMŲ INVESTUOTOJAMS DRAUDIMO IŠMOKŲ APSKAIČIAVIMO</w:t>
      </w:r>
      <w:r w:rsidRPr="001F50C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IR IŠMOKĖJIMO VEIKLOS SRITIES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bCs/>
          <w:sz w:val="24"/>
          <w:szCs w:val="24"/>
        </w:rPr>
        <w:t>VERTINIMO APRAŠYMAS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2019 m. </w:t>
      </w:r>
      <w:r w:rsidRPr="001F50CB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rugsėjo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D49A6">
        <w:rPr>
          <w:rFonts w:ascii="Times New Roman" w:eastAsia="Times New Roman" w:hAnsi="Times New Roman" w:cs="Times New Roman"/>
          <w:sz w:val="24"/>
          <w:szCs w:val="24"/>
        </w:rPr>
        <w:t>13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d. Nr.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sz w:val="24"/>
          <w:szCs w:val="24"/>
        </w:rPr>
        <w:t>BENDROJI DALIS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sz w:val="24"/>
          <w:szCs w:val="24"/>
        </w:rPr>
        <w:t>Valstybės įmonės „Indėlių ir investicijų draudimas“ (toliau – IID) direktoriaus                                               2017 m. rugsėjo 29 d. įsakymo Nr. V – 52 „Dėl valstybės įmonės ,,Indėlių ir investicijų draudimas“ vidaus kontrolės ir rizikų valdymo nuostatų patvirtinimo“ 3 punktu sudaryta darbo grupė (toliau – KPTNDG) atliko Lietuvos Respublikos finansų ministro 2019 m. birželio 10 d. įsakymo Nr. 1K-184 „</w:t>
      </w:r>
      <w:bookmarkStart w:id="0" w:name="_Hlk16511869"/>
      <w:r w:rsidRPr="001F50CB">
        <w:rPr>
          <w:rFonts w:ascii="Times New Roman" w:eastAsia="Times New Roman" w:hAnsi="Times New Roman" w:cs="Times New Roman"/>
          <w:sz w:val="24"/>
          <w:szCs w:val="24"/>
        </w:rPr>
        <w:t>Dėl Lietuvos Respublikos finansų ministerijos ir finansų ministro valdymo sričiai priskirtų įstaigų, įmonių veiklos sričių, kuriose 2019 m. reikia atlikti korupcijos pasireiškimo tikimybės analizę, nustatymo</w:t>
      </w:r>
      <w:bookmarkEnd w:id="0"/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“ (toliau - FM įstatymas Nr. 1K-184) 11 punkte nustatytos veiklos srities (indėlių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apskaičiavimas ir išmokėjimas), kurioje yra didelė korupcijos pasireiškimo tikimybė, analizę ir vertinimą (toliau – analizė ir vertinimas). 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Analizuoti ir vertinti 2019 m. III ketvirtį galiojantys 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mokų apskaičiavimo ir išmokėjimo veiklos sritį (toliau – veiklos sritis) reglamentuojantys teisės aktai.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F50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1. VEIKLOS SRITIES ANALIZĖS APIMTIS IR METODAI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Veiklos srities esamos situacijos analizė ir vertinimas atliktas vadovaujantis:</w:t>
      </w:r>
    </w:p>
    <w:p w:rsidR="00AC2144" w:rsidRPr="001F50CB" w:rsidRDefault="00AC2144" w:rsidP="00AC2144">
      <w:pPr>
        <w:numPr>
          <w:ilvl w:val="0"/>
          <w:numId w:val="2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Lietuvos Respublikos korupcijos prevencijos įstatymo (toliau – KPĮ) 6 straipsniu; </w:t>
      </w:r>
    </w:p>
    <w:p w:rsidR="00AC2144" w:rsidRPr="001F50CB" w:rsidRDefault="00AC2144" w:rsidP="00AC2144">
      <w:pPr>
        <w:numPr>
          <w:ilvl w:val="0"/>
          <w:numId w:val="2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Korupcijos prevencijos tvarkos aprašu, patvirtintu Lietuvos Respublikos finansų ministro 2007 m. rugsėjo 20 d. įsakymu Nr. 1K-261 „Dėl korupcijos prevencijos finansų ministrui pavestose valdymo srityse ir informacijos apie pažeidimus administravimo finansų ministerijoje“ (Lietuvos Respublikos finansų ministro 2019 m. balandžio 10 d. įsakymo Nr. 1K-115 redakcija);</w:t>
      </w:r>
    </w:p>
    <w:p w:rsidR="00AC2144" w:rsidRPr="001F50CB" w:rsidRDefault="00AC2144" w:rsidP="00AC2144">
      <w:pPr>
        <w:numPr>
          <w:ilvl w:val="0"/>
          <w:numId w:val="2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Valstybės ar savivaldybės įstaigų veiklos sričių, kuriose egzistuoja didelė korupcijos pasireiškimo tikimybė, nustatymo rekomendacijomis, patvirtintomis Lietuvos Respublikos specialiųjų tyrimų tarnybos direktoriaus 2011 m. gegužės 13 d. įsakymu Nr. 2-170 „ Dėl valstybės ar savivaldybės įstaigų veiklos sričių, kuriose egzistuoja didelė korupcijos pasireiškimo tikimybė, nustatymo rekomendacijų patvirtinimo“; </w:t>
      </w:r>
    </w:p>
    <w:p w:rsidR="00AC2144" w:rsidRPr="001F50CB" w:rsidRDefault="00AC2144" w:rsidP="00AC2144">
      <w:pPr>
        <w:numPr>
          <w:ilvl w:val="0"/>
          <w:numId w:val="2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Valstybės įmonės ,,Indėlių ir investicijų draudimas“ vidaus kontrolės ir rizikų valdymo nuostatais, patvirtintais IID direktoriaus 2018 m. birželio 7 d. įsakymu Nr. V – 57 „Dėl valstybės įmonės ,,indėlių ir investicijų draudimas“ vidaus kontrolės ir rizikų valdymo nuostatų pakeitimo“.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Vadovaujantis FM įsakymo Nr. 1K-184 11 punktu, KPTNDG atliko antikorupcinę analizę ir vertinimą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apskaičiavimo ir išmokėjimo </w:t>
      </w:r>
      <w:r w:rsidRPr="001F50CB">
        <w:rPr>
          <w:rFonts w:ascii="Times New Roman" w:eastAsia="Times New Roman" w:hAnsi="Times New Roman" w:cs="Times New Roman"/>
          <w:bCs/>
          <w:iCs/>
          <w:sz w:val="24"/>
          <w:szCs w:val="24"/>
        </w:rPr>
        <w:t>srityse.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sz w:val="24"/>
          <w:szCs w:val="24"/>
        </w:rPr>
        <w:t xml:space="preserve">Analizės ir vertinimo tikslas – </w:t>
      </w:r>
      <w:r w:rsidRPr="001F50CB">
        <w:rPr>
          <w:rFonts w:ascii="Times New Roman" w:hAnsi="Times New Roman" w:cs="Times New Roman"/>
          <w:color w:val="000000"/>
          <w:sz w:val="24"/>
          <w:szCs w:val="24"/>
        </w:rPr>
        <w:t xml:space="preserve">nustatyti korupcijos rizikos veiksnius –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apskaičiavimo ir išmokėjimo </w:t>
      </w:r>
      <w:r w:rsidRPr="001F50CB">
        <w:rPr>
          <w:rFonts w:ascii="Times New Roman" w:hAnsi="Times New Roman" w:cs="Times New Roman"/>
          <w:color w:val="000000"/>
          <w:sz w:val="24"/>
          <w:szCs w:val="24"/>
        </w:rPr>
        <w:t>veiklos sritį veikiančius išorinius, vidinius ar individualius veiksnius (sąlygas, įvykius ar aplinkybes), galinčius sudaryti prielaidas atsirasti korupcijai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mokų apskaičiavimo ir išmokėjimo srityje</w:t>
      </w:r>
      <w:r w:rsidRPr="001F50CB">
        <w:rPr>
          <w:rFonts w:ascii="Times New Roman" w:hAnsi="Times New Roman" w:cs="Times New Roman"/>
          <w:color w:val="000000"/>
          <w:sz w:val="24"/>
          <w:szCs w:val="24"/>
        </w:rPr>
        <w:t xml:space="preserve">, ir parengti bei įgyvendinti prevencijos priemones analizės metu nustatytiems korupcijos rizikos veiksniams valdyti ar pašalinti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(jei būtina)</w:t>
      </w:r>
      <w:r w:rsidRPr="001F50CB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b/>
          <w:sz w:val="24"/>
          <w:szCs w:val="24"/>
        </w:rPr>
        <w:t xml:space="preserve">Analizuotas objektas –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veikla apskaičiuojant ir išmokant 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mokas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mokas.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Lietuvos Respublikos finansų ministro 2008 m. rugsėjo 16 d. įsakymo Nr. 1K-288 „</w:t>
      </w:r>
      <w:r w:rsidRPr="001F50CB">
        <w:rPr>
          <w:rFonts w:ascii="Times New Roman" w:hAnsi="Times New Roman" w:cs="Times New Roman"/>
          <w:bCs/>
          <w:sz w:val="24"/>
          <w:szCs w:val="24"/>
          <w:lang w:eastAsia="lt-LT"/>
        </w:rPr>
        <w:t>Dėl finansų ministerijos ir finansų ministro valdymo sritims priskirtų įstaigų, įmonių veiklos sričių, kuriose yra didelė korupcijos pasireiškimo tikimybė, nustatymo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“ (toliau – FM įsakymas Nr. 1K-288) 10.2 papunktyje nustatyti kriterijai, kuriais remiantis analizuojama veiklos sritis yra priskiriama veiklos sritims, kuriose egzistuoja korupcijos pasireiškimo tikimybė (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veiklos sritis atitinka KPĮ 6 straipsnio 4 dalies 4 ir 5 punktuose nustatytus kriterijus).</w:t>
      </w:r>
    </w:p>
    <w:p w:rsidR="00AC2144" w:rsidRPr="003864A3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Todėl, esama situacija analizuojamoje veiklos srityje turėtų būti įvertinta taikant šiuos Lietuvos FM įsakyme Nr. 1K-288 nurodytus KPĮ 6 straipsnio 4 dalyje nustatytus kriterijus:</w:t>
      </w:r>
    </w:p>
    <w:p w:rsidR="00AC2144" w:rsidRPr="001F50CB" w:rsidRDefault="00AC2144" w:rsidP="00AC2144">
      <w:pPr>
        <w:pStyle w:val="Sraopastraipa"/>
        <w:numPr>
          <w:ilvl w:val="0"/>
          <w:numId w:val="3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KPĮ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6 straipsnio 4 dalies 4 punkte nustatytą kriterijų – veikla yra susijusi su leidimų, nuolaidų, lengvatų ir kitokių papildomų teisių suteikimu ar apribojimu;</w:t>
      </w:r>
    </w:p>
    <w:p w:rsidR="00AC2144" w:rsidRPr="001F50CB" w:rsidRDefault="00AC2144" w:rsidP="00AC2144">
      <w:pPr>
        <w:pStyle w:val="Sraopastraipa"/>
        <w:numPr>
          <w:ilvl w:val="0"/>
          <w:numId w:val="3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KPĮ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6 straipsnio 4 dalies 5 punkte nustatytą kriterijų – daugiausia priima sprendimus, kuriems nereikia kitos valstybės ar savivaldybės įstaigos patvirtinimo.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Todėl KPTNDG atlikdama 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mokų apskaičiavimo ir išmokėjimo antikorupcinį vertinimą, analizuojamą veiklos sritį vertino pagal minėtus kriterijus.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Pirminei informacijai apie veiklos srities esamą situaciją gauti KPTNDG parengė klausimyną, kuris skirtas nustatyti, kaip teisės aktai reglamentuoja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mokų apskaičiavimą</w:t>
      </w:r>
      <w:r w:rsidRPr="009520D9">
        <w:rPr>
          <w:rFonts w:ascii="Times New Roman" w:eastAsia="Times New Roman" w:hAnsi="Times New Roman" w:cs="Times New Roman"/>
          <w:iCs/>
          <w:sz w:val="24"/>
          <w:szCs w:val="24"/>
        </w:rPr>
        <w:t>, ir šį klausimyną p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ateikė užpildyti pagal kompetenciją analizuojamą veiklą vykdančiam IID padaliniui – IID Fondų administravimo skyriui (toliau – FAS).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C2144" w:rsidRPr="001F50CB" w:rsidRDefault="00AC2144" w:rsidP="00AC2144">
      <w:pPr>
        <w:tabs>
          <w:tab w:val="left" w:pos="1832"/>
          <w:tab w:val="left" w:pos="241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F50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2. VEIKLOS SRITIES ANALIZĖS METU NUSTATYTI KORUPCIJOS RIZIKOS VEIKSNIAI</w:t>
      </w:r>
    </w:p>
    <w:p w:rsidR="00AC2144" w:rsidRPr="001F50CB" w:rsidRDefault="00AC2144" w:rsidP="00AC2144">
      <w:pPr>
        <w:tabs>
          <w:tab w:val="left" w:pos="851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Vertinamuoju laikotarpiu galiojo šie pagrindiniai </w:t>
      </w:r>
      <w:bookmarkStart w:id="1" w:name="_Hlk19003155"/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mokų </w:t>
      </w:r>
      <w:bookmarkEnd w:id="1"/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apskaičiavimą ir išmokėjimą reglamentuojantys teisės aktai: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Lietuvos Respublikos indėlių ir įsipareigojimų investuotojams draudimo įstatymo                              (toliau – IĮIDĮ) 4, 6, 7, 8, 9, 21, 23 ir 24 straipsniai;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Indėlių draudimo išmokų, avansinių indėlių draudimo išmokų ir įsipareigojimų investuotojams draudimo išmokų apskaičiavimo ir išmokėjimo taisyklės, patvirtintos IID tarybos                                                     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2018 m. lapkričio 15 d. nutarimu Nr. 02-23-2 (toliau –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Išmokų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taisyklės)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Draudimo išmokų mokėjimo paslaugų teikėjų atrankos taisyklės, patvirtintos IID tarybos                           2016 m. rugpjūčio 9 d. nutarimu Nr. 02-14 (toliau – Atrankos taisyklės); 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 xml:space="preserve">Duomenų, reikalingų indėlių draudimo išmokoms apskaičiuoti, aprašas,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patvirtintas                             IID direktoriaus 2018 m. gruodžio 21 d. įsakymu Nr. V – 228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 xml:space="preserve">Duomenų, reikalingų įsipareigojimų investuotojams draudimo išmokoms apskaičiuoti, aprašas,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 patvirtintas IID direktoriaus</w:t>
      </w:r>
      <w:r w:rsidRPr="001F50CB">
        <w:rPr>
          <w:rFonts w:ascii="Times New Roman" w:hAnsi="Times New Roman" w:cs="Times New Roman"/>
          <w:sz w:val="24"/>
          <w:szCs w:val="24"/>
        </w:rPr>
        <w:t xml:space="preserve"> 2018 m. gruodžio 21 d. įsakymu Nr. V – 226;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 xml:space="preserve">Asmenų prašymų ir skundų nagrinėjimo ir asmenų aptarnavimo valstybės įmonėje „Indėlių ir investicijų draudimas“ taisyklės,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patvirtintos IID direktoriaus 2018 m. rugsėjo 27 d. įsakymu Nr. V-143. </w:t>
      </w:r>
    </w:p>
    <w:p w:rsidR="00AC2144" w:rsidRPr="001F50CB" w:rsidRDefault="00AC2144" w:rsidP="00AC2144">
      <w:pPr>
        <w:numPr>
          <w:ilvl w:val="0"/>
          <w:numId w:val="1"/>
        </w:numPr>
        <w:tabs>
          <w:tab w:val="left" w:pos="851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Valstybės įmonės ,,Indėlių ir investicijų draudimas“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mokų apskaičiavimo ir mokėjimo administravimo taisyklės, patvirtintos IID direktoriaus 2019 m. sausio 21 d.                                       įsakymu Nr.V-11 (toliau – Išmokų administravimo taisyklės).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bookmarkStart w:id="2" w:name="_GoBack"/>
      <w:bookmarkEnd w:id="2"/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Atlikus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indėlių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mokų ir įsipareigojimų investuotojams draudimo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mokų apskaičiavimą ir išmokėjimą</w:t>
      </w:r>
      <w:r w:rsidRPr="001F50CB" w:rsidDel="009C2BAF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reglamentuojančių teisės aktų analizę ir vertinimą, KPTNDG nustatė: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Draudimo išmokos apskaičiuojamos ir mokamos pagal indėlių draudimo sistemos dalyvio ar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įsipareigojimų investuotojams draudimo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 sistemos (toliau kartu – sistemų dalyviai) pateiktus duomenis. Už IID perduotų duomenų tikrumą ir pateikimą laiku atsako indėlių draudimo sistemos dalyvis ar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įsipareigojimų investuotojams draudimo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 sistemos dalyvis (IĮIDĮ 6 straipsnio 7 dali ir 23 straipsnio 9 dalis). 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Indėlių draudimo sistemos dalyvis IID privalo </w:t>
      </w:r>
      <w:r w:rsidRPr="001F50CB">
        <w:rPr>
          <w:rFonts w:ascii="Times New Roman" w:hAnsi="Times New Roman" w:cs="Times New Roman"/>
          <w:sz w:val="24"/>
          <w:szCs w:val="24"/>
        </w:rPr>
        <w:t xml:space="preserve">pateikti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indėlininkų, kuriems priklauso indėlių draudimo išmoka, sąrašą (toliau – indėlininkų sąrašas), bendrųjų sąskaitų ir depozitinių </w:t>
      </w:r>
      <w:r w:rsidRPr="001F50C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sąskaitų sąrašą,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o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>įsipareigojimų investuotojams draudimo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 sistemos dalyvis IID privalo </w:t>
      </w:r>
      <w:r w:rsidRPr="001F50CB">
        <w:rPr>
          <w:rFonts w:ascii="Times New Roman" w:hAnsi="Times New Roman" w:cs="Times New Roman"/>
          <w:sz w:val="24"/>
          <w:szCs w:val="24"/>
        </w:rPr>
        <w:t>pateikti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investuotojų, kuriems priklauso </w:t>
      </w:r>
      <w:r w:rsidRPr="001F50CB">
        <w:rPr>
          <w:rFonts w:ascii="Times New Roman" w:hAnsi="Times New Roman" w:cs="Times New Roman"/>
          <w:sz w:val="24"/>
          <w:szCs w:val="24"/>
        </w:rPr>
        <w:t xml:space="preserve">įsipareigojimų investuotojams </w:t>
      </w:r>
      <w:r w:rsidRPr="001F50CB">
        <w:rPr>
          <w:rFonts w:ascii="Times New Roman" w:hAnsi="Times New Roman" w:cs="Times New Roman"/>
          <w:bCs/>
          <w:sz w:val="24"/>
          <w:szCs w:val="24"/>
        </w:rPr>
        <w:t>draudimo išmoka, sąrašą (toliau – investuotojų sąrašas) ir bendrų investicijų sąrašą (toliau – draudimo išmokų duomenys).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Pagal esamą reglamentavimą yra nustatyti aiškūs reikalavimai draudimo išmokų duomenų kokybei ir draudimo išmokų duomenų pateikimo IID procedūros ir terminai.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709"/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Pagal esamą reglamentavimą yra įdiegta trijų pakopų draudimo išmokų duomenų kokybės vertinimo (kontrolės) sistema:</w:t>
      </w:r>
    </w:p>
    <w:p w:rsidR="00AC2144" w:rsidRPr="001F50CB" w:rsidRDefault="00AC2144" w:rsidP="00AC2144">
      <w:pPr>
        <w:pStyle w:val="Sraopastraipa"/>
        <w:numPr>
          <w:ilvl w:val="2"/>
          <w:numId w:val="4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Pirma kontrolės pakopa – išankstinis draudimo išmokų duomenų kokybės vertinimas. Šioje kontrolės pakopoje draudimo išmokų duomenų kokybės vertinimas atliekamas iki draudžiamojo įvykio, atliekant</w:t>
      </w:r>
      <w:r w:rsidRPr="001F50CB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indėlių draudimo sistemos testavimus nepalankiausiomis sąlygomis (IĮIDĮ 39 straipsnis ir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Indėlių draudimo sistemos testavimo nepalankiausiomis sąlygomis tvarkos aprašas, patvirtintas IID tarybos 2018 m. lapkričio 15 d. nutarimu Nr. 02-23-2) ir atliekant sistemų dalyvių planinius ar neplaninius patikrinimus </w:t>
      </w:r>
      <w:r w:rsidRPr="001F50CB">
        <w:rPr>
          <w:rFonts w:ascii="Times New Roman" w:eastAsia="Times New Roman" w:hAnsi="Times New Roman" w:cs="Times New Roman"/>
          <w:bCs/>
          <w:iCs/>
          <w:sz w:val="24"/>
          <w:szCs w:val="24"/>
        </w:rPr>
        <w:t>(IĮIDĮ 38 straipsnio 1 dalies 5 punktas ir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0CB">
        <w:rPr>
          <w:rFonts w:ascii="Times New Roman" w:hAnsi="Times New Roman" w:cs="Times New Roman"/>
          <w:bCs/>
          <w:sz w:val="24"/>
          <w:szCs w:val="24"/>
          <w:lang w:eastAsia="lt-LT"/>
        </w:rPr>
        <w:t>Indėlių draudimo sistemos dalyvių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F50CB">
        <w:rPr>
          <w:rFonts w:ascii="Times New Roman" w:hAnsi="Times New Roman" w:cs="Times New Roman"/>
          <w:bCs/>
          <w:sz w:val="24"/>
          <w:szCs w:val="24"/>
          <w:lang w:eastAsia="lt-LT"/>
        </w:rPr>
        <w:t>ir įsipareigojimų investuotojams draudimo sistemos dalyvių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 patikrinimų taisyklės, patvirtintos IID direktoriaus 2019 m. sausio 21d. įsakymu Nr.V-11 (toliau – Dalyvių patikrinimo taisyklės). Be to, sistemų dalyviams teikiama metodinė pagalba – organizuojami susitikimai (seminarai) ir teikiamos metodinės rekomendacijos dėl draudimo išmokų duomenų kokybės (Dalyvių patikrinimo taisyklių II skyrius).</w:t>
      </w:r>
    </w:p>
    <w:p w:rsidR="00AC2144" w:rsidRPr="001F50CB" w:rsidRDefault="00AC2144" w:rsidP="00AC2144">
      <w:pPr>
        <w:pStyle w:val="Sraopastraipa"/>
        <w:numPr>
          <w:ilvl w:val="2"/>
          <w:numId w:val="4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 xml:space="preserve">Antra kontrolės pakopa – einamasis </w:t>
      </w:r>
      <w:bookmarkStart w:id="3" w:name="_Hlk19005915"/>
      <w:r w:rsidRPr="001F50CB">
        <w:rPr>
          <w:rFonts w:ascii="Times New Roman" w:hAnsi="Times New Roman" w:cs="Times New Roman"/>
          <w:bCs/>
          <w:sz w:val="24"/>
          <w:szCs w:val="24"/>
        </w:rPr>
        <w:t xml:space="preserve">draudimo išmokų duomenų </w:t>
      </w:r>
      <w:bookmarkEnd w:id="3"/>
      <w:r w:rsidRPr="001F50CB">
        <w:rPr>
          <w:rFonts w:ascii="Times New Roman" w:hAnsi="Times New Roman" w:cs="Times New Roman"/>
          <w:bCs/>
          <w:sz w:val="24"/>
          <w:szCs w:val="24"/>
        </w:rPr>
        <w:t>kokybės vertinimas. Šioje kontrolės pakopoje draudimo išmokų duomenų kokybės vertinimas atliekamas po draudžiamojo įvykio iki draudimo išmokų išmokėjimo (</w:t>
      </w:r>
      <w:r w:rsidRPr="001F50CB">
        <w:rPr>
          <w:rFonts w:ascii="Times New Roman" w:hAnsi="Times New Roman" w:cs="Times New Roman"/>
          <w:bCs/>
          <w:sz w:val="24"/>
          <w:szCs w:val="24"/>
          <w:lang w:eastAsia="lt-LT"/>
        </w:rPr>
        <w:t>Išmokų</w:t>
      </w:r>
      <w:r w:rsidRPr="001F50CB">
        <w:rPr>
          <w:rFonts w:ascii="Times New Roman" w:eastAsia="Times New Roman" w:hAnsi="Times New Roman" w:cs="Times New Roman"/>
          <w:bCs/>
          <w:sz w:val="24"/>
          <w:szCs w:val="24"/>
        </w:rPr>
        <w:t xml:space="preserve"> taisyklės ir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Išmokų administravimo taisyklės). </w:t>
      </w:r>
    </w:p>
    <w:p w:rsidR="00AC2144" w:rsidRPr="001F50CB" w:rsidRDefault="00AC2144" w:rsidP="00AC2144">
      <w:pPr>
        <w:pStyle w:val="Sraopastraipa"/>
        <w:numPr>
          <w:ilvl w:val="2"/>
          <w:numId w:val="4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Trečia kontrolės pakopa – paskesnis draudimo išmokų duomenų kokybės vertinimas (monitoringas). Šioje kontrolės pakopoje draudimo išmokų duomenų kokybės vertinimas atliekamas po indėlių draudimo išmokų išmokėjimo (</w:t>
      </w:r>
      <w:r w:rsidRPr="001F50CB">
        <w:rPr>
          <w:rFonts w:ascii="Times New Roman" w:hAnsi="Times New Roman" w:cs="Times New Roman"/>
          <w:bCs/>
          <w:sz w:val="24"/>
          <w:szCs w:val="24"/>
          <w:lang w:eastAsia="lt-LT"/>
        </w:rPr>
        <w:t>Išmokų</w:t>
      </w:r>
      <w:r w:rsidRPr="001F50CB">
        <w:rPr>
          <w:rFonts w:ascii="Times New Roman" w:eastAsia="Times New Roman" w:hAnsi="Times New Roman" w:cs="Times New Roman"/>
          <w:bCs/>
          <w:sz w:val="24"/>
          <w:szCs w:val="24"/>
        </w:rPr>
        <w:t xml:space="preserve"> taisyklės ir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Išmokų administravimo taisyklės). 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Draudimo išmokų duomenų</w:t>
      </w:r>
      <w:r w:rsidRPr="001F50CB">
        <w:rPr>
          <w:rFonts w:ascii="Times New Roman" w:hAnsi="Times New Roman" w:cs="Times New Roman"/>
          <w:sz w:val="24"/>
          <w:szCs w:val="24"/>
        </w:rPr>
        <w:t xml:space="preserve"> kokybės vertinimui naudojama duomenų struktūros ir formos patikrinimo elektroninė programa, kuri patikrina, ar </w:t>
      </w:r>
      <w:r w:rsidRPr="001F50CB">
        <w:rPr>
          <w:rFonts w:ascii="Times New Roman" w:hAnsi="Times New Roman" w:cs="Times New Roman"/>
          <w:bCs/>
          <w:sz w:val="24"/>
          <w:szCs w:val="24"/>
        </w:rPr>
        <w:t>draudimo išmokų duomenys</w:t>
      </w:r>
      <w:r w:rsidRPr="001F50CB">
        <w:rPr>
          <w:rFonts w:ascii="Times New Roman" w:hAnsi="Times New Roman" w:cs="Times New Roman"/>
          <w:sz w:val="24"/>
          <w:szCs w:val="24"/>
        </w:rPr>
        <w:t xml:space="preserve"> yra tinkami, ar netinkami (pvz., neteisingi identifikavimo numeriai, prie tų pačių identifikavimo numerių pažymėti skirtingi pavadinimai (vardai, pavardės), keletas įrašų apie tą patį indėlininką ir pan.).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 xml:space="preserve">Draudimo išmokų duomenų tvarkymui naudoja </w:t>
      </w:r>
      <w:r w:rsidRPr="001F50CB">
        <w:rPr>
          <w:rFonts w:ascii="Times New Roman" w:hAnsi="Times New Roman" w:cs="Times New Roman"/>
          <w:sz w:val="24"/>
          <w:szCs w:val="24"/>
        </w:rPr>
        <w:t>IID elektroninę draudimo išmokų valdymo sistemą.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 xml:space="preserve">Draudimo išmokos gali būti išmokamos IID tarybos nustatytais atvejais per IID arba per IID atrinktą mokėjimo paslaugų teikėją </w:t>
      </w:r>
      <w:r w:rsidRPr="001F50CB">
        <w:rPr>
          <w:rFonts w:ascii="Times New Roman" w:eastAsia="Times New Roman" w:hAnsi="Times New Roman" w:cs="Times New Roman"/>
          <w:bCs/>
          <w:iCs/>
          <w:sz w:val="24"/>
          <w:szCs w:val="24"/>
        </w:rPr>
        <w:t>(IĮIDĮ 7 straipsnio 5 dalis ir 23 straipsnio 13 dalis)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: </w:t>
      </w:r>
    </w:p>
    <w:p w:rsidR="00AC2144" w:rsidRPr="001F50CB" w:rsidRDefault="00AC2144" w:rsidP="00AC2144">
      <w:pPr>
        <w:pStyle w:val="Sraopastraipa"/>
        <w:numPr>
          <w:ilvl w:val="0"/>
          <w:numId w:val="7"/>
        </w:numPr>
        <w:tabs>
          <w:tab w:val="left" w:pos="175"/>
          <w:tab w:val="left" w:pos="317"/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Išmokų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taisyklėse nustatyti atvejai, kada draudimo išmokos mokamos per </w:t>
      </w:r>
      <w:r w:rsidRPr="001F50CB">
        <w:rPr>
          <w:rFonts w:ascii="Times New Roman" w:hAnsi="Times New Roman" w:cs="Times New Roman"/>
          <w:bCs/>
          <w:sz w:val="24"/>
          <w:szCs w:val="24"/>
        </w:rPr>
        <w:t xml:space="preserve">IID. 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>Išmokų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taisyklių 7 punkte nustatyta: </w:t>
      </w:r>
    </w:p>
    <w:p w:rsidR="00AC2144" w:rsidRPr="001F50CB" w:rsidRDefault="00AC2144" w:rsidP="00AC2144">
      <w:pPr>
        <w:tabs>
          <w:tab w:val="left" w:pos="175"/>
          <w:tab w:val="left" w:pos="31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>„&lt;...&gt; 7. Draudimo išmokos išmokamos per mokėjimo paslaugų teikėją, išskyrus:</w:t>
      </w:r>
    </w:p>
    <w:p w:rsidR="00AC2144" w:rsidRPr="001F50CB" w:rsidRDefault="00AC2144" w:rsidP="00AC2144">
      <w:pPr>
        <w:pStyle w:val="Sraopastraipa"/>
        <w:tabs>
          <w:tab w:val="left" w:pos="175"/>
          <w:tab w:val="left" w:pos="31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>7.1.</w:t>
      </w: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Jeigu konkretaus draudžiamojo įvykio atveju, suderinus su draudimo įmonės taryba, priimamas sprendimas išmokėti draudimo išmokas per draudimo įmonę;</w:t>
      </w:r>
    </w:p>
    <w:p w:rsidR="00AC2144" w:rsidRPr="001F50CB" w:rsidRDefault="00AC2144" w:rsidP="00AC2144">
      <w:pPr>
        <w:pStyle w:val="Sraopastraipa"/>
        <w:tabs>
          <w:tab w:val="left" w:pos="175"/>
          <w:tab w:val="left" w:pos="317"/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>7.2.</w:t>
      </w: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ab/>
        <w:t>Avansines indėlių draudimo išmokas, kurios išmokamos per draudimo įmonę, nebent iki avansinių išmokų išmokėjimo termino pabaigos yra atrinktas mokėjimo paslaugų teikėjas. &lt;...&gt;“</w:t>
      </w:r>
    </w:p>
    <w:p w:rsidR="00AC2144" w:rsidRPr="001F50CB" w:rsidRDefault="00AC2144" w:rsidP="00AC2144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KPTNDG</w:t>
      </w:r>
      <w:r w:rsidRPr="001F50CB">
        <w:rPr>
          <w:rFonts w:ascii="Times New Roman" w:hAnsi="Times New Roman" w:cs="Times New Roman"/>
          <w:sz w:val="24"/>
          <w:szCs w:val="24"/>
          <w:lang w:eastAsia="lt-LT"/>
        </w:rPr>
        <w:t xml:space="preserve"> vertinimu Išmokų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 taisyklėse nustatyta formuluotė </w:t>
      </w: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„draudimo išmokos išmokamos per mokėjimo paslaugų teikėją, išskyrus jeigu konkretaus draudžiamojo įvykio atveju, suderinus su draudimo įmonės taryba, priimamas sprendimas išmokėti draudimo išmokas per draudimo įmonę“ 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yra dviprasmiška ir ydinga, nes nėra aiškiai apibrėžti objektyvūs kriterijai, kuriems esant </w:t>
      </w:r>
      <w:bookmarkStart w:id="4" w:name="_Hlk19014313"/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draudimo išmokos mokamos per IID </w:t>
      </w:r>
      <w:bookmarkEnd w:id="4"/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– nėra aiški formuluotė </w:t>
      </w:r>
      <w:r w:rsidRPr="001F50CB">
        <w:rPr>
          <w:rFonts w:ascii="Times New Roman" w:eastAsia="Times New Roman" w:hAnsi="Times New Roman" w:cs="Times New Roman"/>
          <w:i/>
          <w:iCs/>
          <w:sz w:val="24"/>
          <w:szCs w:val="24"/>
        </w:rPr>
        <w:t>„konkretaus draudžiamojo įvykio atveju“</w:t>
      </w:r>
      <w:r w:rsidRPr="001F50CB">
        <w:rPr>
          <w:rFonts w:ascii="Times New Roman" w:eastAsia="Times New Roman" w:hAnsi="Times New Roman" w:cs="Times New Roman"/>
          <w:sz w:val="24"/>
          <w:szCs w:val="24"/>
        </w:rPr>
        <w:t xml:space="preserve">, taip pat nenustatyti aiškūs objektyvūs kriterijai, pagal kuriuos IID taryba priima sprendimą suderinti/nesuderinti draudimo išmokos mokėjimą per IID – neaiškios IID tarybos kompetencijos ribos (neaiškios IID tarybos diskrecijos ribos). </w:t>
      </w: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KPTNDG</w:t>
      </w:r>
      <w:r w:rsidRPr="001F50CB">
        <w:rPr>
          <w:rFonts w:ascii="Times New Roman" w:hAnsi="Times New Roman" w:cs="Times New Roman"/>
          <w:iCs/>
          <w:sz w:val="24"/>
          <w:szCs w:val="24"/>
          <w:lang w:eastAsia="lt-LT"/>
        </w:rPr>
        <w:t xml:space="preserve"> vertinimu</w:t>
      </w:r>
      <w:r w:rsidRPr="001F50CB">
        <w:rPr>
          <w:rFonts w:ascii="Times New Roman" w:hAnsi="Times New Roman" w:cs="Times New Roman"/>
          <w:iCs/>
          <w:sz w:val="24"/>
          <w:szCs w:val="24"/>
        </w:rPr>
        <w:t>, aptartos esamo teisinio reguliavimo nuostatos yra ydingos antikorupciniu požiūriu,</w:t>
      </w:r>
      <w:r w:rsidRPr="001F50C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F50CB">
        <w:rPr>
          <w:rFonts w:ascii="Times New Roman" w:hAnsi="Times New Roman" w:cs="Times New Roman"/>
          <w:sz w:val="24"/>
          <w:szCs w:val="24"/>
        </w:rPr>
        <w:t>kadangi sudaromos prielaidos situacija, kad priimtas sprendimas bus neobjektyvus (sprendimą įtakos tik IID tarybos narių subjektyvi nuomonė) arba nepagrįstas (sprendimas gali būti priimamas piktnaudžiaujant išskirtinėmis (lemiamo balso) teisėmis).</w:t>
      </w:r>
    </w:p>
    <w:p w:rsidR="00AC2144" w:rsidRPr="001F50CB" w:rsidRDefault="00AC2144" w:rsidP="00AC2144">
      <w:pPr>
        <w:pStyle w:val="Sraopastraipa"/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b) Atrankos taisyklėse nustatyti aiškūs draudimo išmokų </w:t>
      </w:r>
      <w:r w:rsidRPr="001F50CB">
        <w:rPr>
          <w:rFonts w:ascii="Times New Roman" w:hAnsi="Times New Roman" w:cs="Times New Roman"/>
          <w:bCs/>
          <w:sz w:val="24"/>
          <w:szCs w:val="24"/>
        </w:rPr>
        <w:t>mokėjimo paslaugų teikėjo atrankos kriterijai ir procedūros.</w:t>
      </w:r>
    </w:p>
    <w:p w:rsidR="00AC2144" w:rsidRPr="001F50CB" w:rsidRDefault="00AC2144" w:rsidP="00AC2144">
      <w:pPr>
        <w:pStyle w:val="Sraopastraipa"/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eastAsia="Times New Roman" w:hAnsi="Times New Roman" w:cs="Times New Roman"/>
          <w:iCs/>
          <w:sz w:val="24"/>
          <w:szCs w:val="24"/>
        </w:rPr>
        <w:t>c) Išmokų administravimo taisyklėse detalizuoti IID darbuotojų veiksmai, susiję su draudimo išmokų apskaičiavimu ir išmokėjimu, jų eiliškumas, veiksmų atlikimo terminai.</w:t>
      </w:r>
    </w:p>
    <w:p w:rsidR="00AC2144" w:rsidRPr="001F50CB" w:rsidRDefault="00AC2144" w:rsidP="00AC2144">
      <w:pPr>
        <w:pStyle w:val="Sraopastraipa"/>
        <w:numPr>
          <w:ilvl w:val="0"/>
          <w:numId w:val="5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>Pagal IID įdiegtą vidaus kontrolės sistemą, buvo atliekami vidaus kontrolės patikrinimai:</w:t>
      </w:r>
    </w:p>
    <w:p w:rsidR="00AC2144" w:rsidRPr="001F50CB" w:rsidRDefault="00AC2144" w:rsidP="00AC2144">
      <w:pPr>
        <w:pStyle w:val="Sraopastraipa"/>
        <w:numPr>
          <w:ilvl w:val="1"/>
          <w:numId w:val="5"/>
        </w:numPr>
        <w:tabs>
          <w:tab w:val="left" w:pos="175"/>
          <w:tab w:val="left" w:pos="317"/>
          <w:tab w:val="left" w:pos="601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 xml:space="preserve"> 2017 m. vertinta:</w:t>
      </w:r>
    </w:p>
    <w:p w:rsidR="00AC2144" w:rsidRPr="001F50CB" w:rsidRDefault="00AC2144" w:rsidP="00AC2144">
      <w:pPr>
        <w:pStyle w:val="Sraopastraipa"/>
        <w:numPr>
          <w:ilvl w:val="4"/>
          <w:numId w:val="6"/>
        </w:numPr>
        <w:tabs>
          <w:tab w:val="left" w:pos="175"/>
          <w:tab w:val="left" w:pos="317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>draudimo išmokų apskaičiavimo ir išmokėjimo procedūrų reglamentavimo pakankamumas;</w:t>
      </w:r>
    </w:p>
    <w:p w:rsidR="00AC2144" w:rsidRPr="001F50CB" w:rsidRDefault="00AC2144" w:rsidP="00AC2144">
      <w:pPr>
        <w:pStyle w:val="Sraopastraipa"/>
        <w:numPr>
          <w:ilvl w:val="4"/>
          <w:numId w:val="6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>IID Draudimo išmokų skyriaus (toliau – DIS) darbuotojų funkcijų, pareigų bei teisių reglamentavimo pakankamumas;</w:t>
      </w:r>
    </w:p>
    <w:p w:rsidR="00AC2144" w:rsidRPr="001F50CB" w:rsidRDefault="00AC2144" w:rsidP="00AC2144">
      <w:pPr>
        <w:pStyle w:val="Sraopastraipa"/>
        <w:numPr>
          <w:ilvl w:val="4"/>
          <w:numId w:val="6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>draudimo išmokų apskaičiavimo ir išmokėjimo monitoringo efektyvumas;</w:t>
      </w:r>
    </w:p>
    <w:p w:rsidR="00AC2144" w:rsidRPr="001F50CB" w:rsidRDefault="00AC2144" w:rsidP="00AC2144">
      <w:pPr>
        <w:pStyle w:val="Sraopastraipa"/>
        <w:numPr>
          <w:ilvl w:val="4"/>
          <w:numId w:val="6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>DIS vidaus struktūros efektyvumas.</w:t>
      </w:r>
    </w:p>
    <w:p w:rsidR="00AC2144" w:rsidRPr="001F50CB" w:rsidRDefault="00AC2144" w:rsidP="00AC2144">
      <w:pPr>
        <w:pStyle w:val="Sraopastraipa"/>
        <w:numPr>
          <w:ilvl w:val="1"/>
          <w:numId w:val="5"/>
        </w:numPr>
        <w:tabs>
          <w:tab w:val="left" w:pos="993"/>
          <w:tab w:val="left" w:pos="396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bCs/>
          <w:sz w:val="24"/>
          <w:szCs w:val="24"/>
        </w:rPr>
        <w:t xml:space="preserve">2018 m. vertintas </w:t>
      </w:r>
      <w:r w:rsidRPr="001F50CB">
        <w:rPr>
          <w:rFonts w:ascii="Times New Roman" w:hAnsi="Times New Roman" w:cs="Times New Roman"/>
          <w:sz w:val="24"/>
          <w:szCs w:val="24"/>
        </w:rPr>
        <w:t>IID elektroninės draudimo išmokų valdymo sistemos efektyvumas.</w:t>
      </w:r>
    </w:p>
    <w:p w:rsidR="00AC2144" w:rsidRPr="001F50CB" w:rsidRDefault="00AC2144" w:rsidP="00AC2144">
      <w:pPr>
        <w:tabs>
          <w:tab w:val="left" w:pos="284"/>
          <w:tab w:val="left" w:pos="993"/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C2144" w:rsidRPr="001F50CB" w:rsidRDefault="00AC2144" w:rsidP="00AC2144">
      <w:pPr>
        <w:pStyle w:val="Sraopastraipa"/>
        <w:numPr>
          <w:ilvl w:val="0"/>
          <w:numId w:val="3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1F50CB">
        <w:rPr>
          <w:rFonts w:ascii="Times New Roman" w:hAnsi="Times New Roman" w:cs="Times New Roman"/>
          <w:b/>
          <w:bCs/>
          <w:sz w:val="24"/>
          <w:szCs w:val="24"/>
          <w:lang w:eastAsia="lt-LT"/>
        </w:rPr>
        <w:t>PASIŪLYMAI DĖL KORUPCIJOS RIZIKOS SUMAŽINIMO AR PANAIKINIMO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81"/>
        <w:gridCol w:w="1980"/>
        <w:gridCol w:w="2697"/>
        <w:gridCol w:w="2352"/>
      </w:tblGrid>
      <w:tr w:rsidR="00AC2144" w:rsidRPr="001F50CB" w:rsidTr="00094D71"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4" w:rsidRPr="001F50CB" w:rsidRDefault="00AC2144" w:rsidP="0009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Priemonės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4" w:rsidRPr="001F50CB" w:rsidRDefault="00AC2144" w:rsidP="0009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Įvykdymo laikas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4" w:rsidRPr="001F50CB" w:rsidRDefault="00AC2144" w:rsidP="0009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Laukiami rezultatai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2144" w:rsidRPr="001F50CB" w:rsidRDefault="00AC2144" w:rsidP="00094D7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Vertinimo kriterijai</w:t>
            </w:r>
          </w:p>
        </w:tc>
      </w:tr>
      <w:tr w:rsidR="00AC2144" w:rsidRPr="001F50CB" w:rsidTr="00094D71">
        <w:trPr>
          <w:trHeight w:val="142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4" w:rsidRPr="001F50CB" w:rsidRDefault="00AC2144" w:rsidP="00094D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  <w:lang w:eastAsia="lt-LT"/>
              </w:rPr>
              <w:t>Pakeisti Išmokų</w:t>
            </w:r>
            <w:r w:rsidRPr="001F5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taisykles, kuriose būtų nustatytas baigtinis objektyvių kriterijų, pagal kuriuos draudimo išmokos mokamos per IID, sąrašas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4" w:rsidRPr="001F50CB" w:rsidRDefault="00AC2144" w:rsidP="00094D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</w:rPr>
              <w:t>Iki 2020 m. II ketv. pabaigos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4" w:rsidRPr="001F50CB" w:rsidRDefault="00AC2144" w:rsidP="00094D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</w:rPr>
              <w:t>Bus užtikrintas indėlių draudimo išmokų ir įsipareigojimų investuotojams draudimo išmokų apskaičiavimo ir išmokėjimo skaidrumas ir objektyvumas.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144" w:rsidRPr="001F50CB" w:rsidRDefault="00AC2144" w:rsidP="00094D71">
            <w:pPr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F50CB">
              <w:rPr>
                <w:rFonts w:ascii="Times New Roman" w:hAnsi="Times New Roman" w:cs="Times New Roman"/>
                <w:sz w:val="24"/>
                <w:szCs w:val="24"/>
              </w:rPr>
              <w:t xml:space="preserve">Pakeistos </w:t>
            </w:r>
            <w:r w:rsidRPr="001F50CB">
              <w:rPr>
                <w:rFonts w:ascii="Times New Roman" w:hAnsi="Times New Roman" w:cs="Times New Roman"/>
                <w:iCs/>
                <w:sz w:val="24"/>
                <w:szCs w:val="24"/>
              </w:rPr>
              <w:t>Išmokų taisyklės.</w:t>
            </w:r>
          </w:p>
        </w:tc>
      </w:tr>
    </w:tbl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 xml:space="preserve">KPTNDG vadovas Robertas Kvietkovskis 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>KPTNDG nariai: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>Alena Mugenienė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>Gražina Gema Bačiulienė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 xml:space="preserve">Vytautas Mikalajūnas  </w:t>
      </w:r>
    </w:p>
    <w:p w:rsidR="00AC2144" w:rsidRPr="001F50CB" w:rsidRDefault="00AC2144" w:rsidP="00AC2144">
      <w:pPr>
        <w:tabs>
          <w:tab w:val="left" w:pos="993"/>
          <w:tab w:val="left" w:pos="3960"/>
        </w:tabs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 xml:space="preserve">Valdonė Ugianskienė </w:t>
      </w:r>
    </w:p>
    <w:p w:rsidR="00AC2144" w:rsidRPr="001F50CB" w:rsidRDefault="00AC2144" w:rsidP="00AC214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AC2144" w:rsidRPr="001F50CB" w:rsidRDefault="00AC2144" w:rsidP="00AC2144">
      <w:pPr>
        <w:spacing w:after="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F50CB">
        <w:rPr>
          <w:rFonts w:ascii="Times New Roman" w:eastAsia="Calibri" w:hAnsi="Times New Roman" w:cs="Times New Roman"/>
          <w:sz w:val="24"/>
          <w:szCs w:val="24"/>
        </w:rPr>
        <w:t xml:space="preserve">Laima Tankevičiūtė </w:t>
      </w:r>
    </w:p>
    <w:p w:rsidR="00AC2144" w:rsidRPr="001F50CB" w:rsidRDefault="00AC2144" w:rsidP="00AC2144">
      <w:pPr>
        <w:tabs>
          <w:tab w:val="left" w:pos="1832"/>
          <w:tab w:val="left" w:pos="269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2144" w:rsidRPr="001F50CB" w:rsidRDefault="00AC2144" w:rsidP="00AC2144">
      <w:pPr>
        <w:tabs>
          <w:tab w:val="left" w:pos="2694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50CB">
        <w:rPr>
          <w:rFonts w:ascii="Times New Roman" w:hAnsi="Times New Roman" w:cs="Times New Roman"/>
          <w:sz w:val="24"/>
          <w:szCs w:val="24"/>
        </w:rPr>
        <w:t>_______________</w:t>
      </w:r>
    </w:p>
    <w:p w:rsidR="00EF7F32" w:rsidRDefault="00EF7F32"/>
    <w:sectPr w:rsidR="00EF7F32" w:rsidSect="00A32349">
      <w:headerReference w:type="default" r:id="rId5"/>
      <w:pgSz w:w="11906" w:h="16838" w:code="9"/>
      <w:pgMar w:top="1134" w:right="567" w:bottom="1276" w:left="1701" w:header="567" w:footer="567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0"/>
        <w:szCs w:val="20"/>
      </w:rPr>
      <w:id w:val="1174301444"/>
      <w:docPartObj>
        <w:docPartGallery w:val="Page Numbers (Top of Page)"/>
        <w:docPartUnique/>
      </w:docPartObj>
    </w:sdtPr>
    <w:sdtEndPr/>
    <w:sdtContent>
      <w:p w:rsidR="00126E7B" w:rsidRPr="005B1525" w:rsidRDefault="006D49A6">
        <w:pPr>
          <w:pStyle w:val="Antrats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5B15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5B15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5B15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5B1525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5B15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D3120"/>
    <w:multiLevelType w:val="multilevel"/>
    <w:tmpl w:val="0E3216A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 w15:restartNumberingAfterBreak="0">
    <w:nsid w:val="1A863505"/>
    <w:multiLevelType w:val="hybridMultilevel"/>
    <w:tmpl w:val="B0AC6DE4"/>
    <w:lvl w:ilvl="0" w:tplc="263A02DA">
      <w:start w:val="1"/>
      <w:numFmt w:val="lowerLetter"/>
      <w:lvlText w:val="%1)"/>
      <w:lvlJc w:val="left"/>
      <w:pPr>
        <w:ind w:left="927" w:hanging="360"/>
      </w:pPr>
      <w:rPr>
        <w:rFonts w:eastAsiaTheme="minorHAnsi"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36FE7A46"/>
    <w:multiLevelType w:val="hybridMultilevel"/>
    <w:tmpl w:val="3732022C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3EA92C20"/>
    <w:multiLevelType w:val="hybridMultilevel"/>
    <w:tmpl w:val="B722487E"/>
    <w:lvl w:ilvl="0" w:tplc="7AB86C4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270011">
      <w:start w:val="1"/>
      <w:numFmt w:val="decimal"/>
      <w:lvlText w:val="%2)"/>
      <w:lvlJc w:val="left"/>
      <w:pPr>
        <w:ind w:left="1931" w:hanging="360"/>
      </w:pPr>
      <w:rPr>
        <w:b w:val="0"/>
      </w:rPr>
    </w:lvl>
    <w:lvl w:ilvl="2" w:tplc="04270017">
      <w:start w:val="1"/>
      <w:numFmt w:val="lowerLetter"/>
      <w:lvlText w:val="%3)"/>
      <w:lvlJc w:val="left"/>
      <w:pPr>
        <w:ind w:left="2831" w:hanging="360"/>
      </w:pPr>
      <w:rPr>
        <w:rFonts w:hint="default"/>
      </w:rPr>
    </w:lvl>
    <w:lvl w:ilvl="3" w:tplc="7A3267F6">
      <w:start w:val="1"/>
      <w:numFmt w:val="upperLetter"/>
      <w:lvlText w:val="%4)"/>
      <w:lvlJc w:val="left"/>
      <w:pPr>
        <w:ind w:left="3371" w:hanging="360"/>
      </w:pPr>
      <w:rPr>
        <w:rFonts w:hint="default"/>
      </w:rPr>
    </w:lvl>
    <w:lvl w:ilvl="4" w:tplc="9E326D36">
      <w:start w:val="1"/>
      <w:numFmt w:val="decimal"/>
      <w:lvlText w:val="%5."/>
      <w:lvlJc w:val="left"/>
      <w:pPr>
        <w:ind w:left="4091" w:hanging="360"/>
      </w:pPr>
      <w:rPr>
        <w:rFonts w:hint="default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36243EE"/>
    <w:multiLevelType w:val="hybridMultilevel"/>
    <w:tmpl w:val="9ED24A9A"/>
    <w:lvl w:ilvl="0" w:tplc="0AA6D2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8CC35C2"/>
    <w:multiLevelType w:val="hybridMultilevel"/>
    <w:tmpl w:val="3FD2A56E"/>
    <w:lvl w:ilvl="0" w:tplc="804673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E9A1B9F"/>
    <w:multiLevelType w:val="hybridMultilevel"/>
    <w:tmpl w:val="DB144D9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7">
      <w:start w:val="1"/>
      <w:numFmt w:val="lowerLetter"/>
      <w:lvlText w:val="%5)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144"/>
    <w:rsid w:val="006D49A6"/>
    <w:rsid w:val="00AC2144"/>
    <w:rsid w:val="00E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325DD"/>
  <w15:chartTrackingRefBased/>
  <w15:docId w15:val="{F82E1818-8A12-4120-AA2C-05DD2699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AC2144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C2144"/>
    <w:pPr>
      <w:ind w:left="720"/>
      <w:contextualSpacing/>
    </w:pPr>
  </w:style>
  <w:style w:type="paragraph" w:styleId="Antrats">
    <w:name w:val="header"/>
    <w:basedOn w:val="prastasis"/>
    <w:link w:val="AntratsDiagrama"/>
    <w:unhideWhenUsed/>
    <w:rsid w:val="00AC214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AC21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8536</Words>
  <Characters>4866</Characters>
  <Application>Microsoft Office Word</Application>
  <DocSecurity>0</DocSecurity>
  <Lines>40</Lines>
  <Paragraphs>26</Paragraphs>
  <ScaleCrop>false</ScaleCrop>
  <Company/>
  <LinksUpToDate>false</LinksUpToDate>
  <CharactersWithSpaces>13376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Robertas Kvietkovskis</dc:creator>
  <cp:keywords/>
  <dc:description/>
  <cp:lastModifiedBy>Robertas Kvietkovskis</cp:lastModifiedBy>
  <cp:revision>2</cp:revision>
  <dcterms:created xsi:type="dcterms:W3CDTF">2019-09-13T05:01:00Z</dcterms:created>
  <dcterms:modified xsi:type="dcterms:W3CDTF">2019-09-13T05:03:00Z</dcterms:modified>
</cp:coreProperties>
</file>