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2056" w14:textId="77777777" w:rsidR="00BC1F00" w:rsidRDefault="00BC1F00" w:rsidP="00BC1F00">
      <w:pPr>
        <w:tabs>
          <w:tab w:val="left" w:pos="11057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066DF">
        <w:rPr>
          <w:rFonts w:ascii="Times New Roman" w:hAnsi="Times New Roman"/>
          <w:sz w:val="24"/>
          <w:szCs w:val="24"/>
          <w:lang w:eastAsia="lt-LT"/>
        </w:rPr>
        <w:t>Indėlių draudimo s</w:t>
      </w:r>
      <w:r w:rsidRPr="00242E6C">
        <w:rPr>
          <w:rFonts w:ascii="Times New Roman" w:hAnsi="Times New Roman"/>
          <w:sz w:val="24"/>
          <w:szCs w:val="24"/>
          <w:lang w:eastAsia="lt-LT"/>
        </w:rPr>
        <w:t>istemos dalyvių</w:t>
      </w:r>
      <w:r w:rsidRPr="00242E6C">
        <w:rPr>
          <w:sz w:val="24"/>
          <w:szCs w:val="24"/>
        </w:rPr>
        <w:t xml:space="preserve"> </w:t>
      </w:r>
      <w:r w:rsidRPr="00242E6C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242E6C" w:rsidDel="00BD6A34">
        <w:rPr>
          <w:rFonts w:ascii="Times New Roman" w:hAnsi="Times New Roman"/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sz w:val="24"/>
          <w:szCs w:val="24"/>
        </w:rPr>
        <w:t xml:space="preserve">patikrinimų taisyklių </w:t>
      </w:r>
    </w:p>
    <w:p w14:paraId="17216913" w14:textId="4FBB5AB8" w:rsidR="00BC1F00" w:rsidRPr="00AD5751" w:rsidRDefault="00BC1F00" w:rsidP="00BC1F00">
      <w:pPr>
        <w:pStyle w:val="Heading3"/>
        <w:spacing w:before="0" w:after="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                  </w:t>
      </w:r>
      <w:bookmarkStart w:id="0" w:name="_Toc54877153"/>
      <w:r>
        <w:rPr>
          <w:b w:val="0"/>
          <w:bCs w:val="0"/>
          <w:i w:val="0"/>
          <w:iCs/>
        </w:rPr>
        <w:tab/>
      </w:r>
      <w:r>
        <w:rPr>
          <w:b w:val="0"/>
          <w:bCs w:val="0"/>
          <w:i w:val="0"/>
          <w:iCs/>
        </w:rPr>
        <w:tab/>
      </w:r>
      <w:r w:rsidRPr="00AD5751">
        <w:rPr>
          <w:b w:val="0"/>
          <w:bCs w:val="0"/>
          <w:i w:val="0"/>
          <w:iCs/>
        </w:rPr>
        <w:t>3 priedas</w:t>
      </w:r>
      <w:bookmarkEnd w:id="0"/>
    </w:p>
    <w:p w14:paraId="77C8AB9B" w14:textId="77777777" w:rsidR="00BC1F00" w:rsidRPr="00242E6C" w:rsidRDefault="00BC1F00" w:rsidP="00BC1F00">
      <w:pPr>
        <w:pStyle w:val="Heading3"/>
      </w:pPr>
      <w:r>
        <w:t xml:space="preserve">            </w:t>
      </w:r>
    </w:p>
    <w:p w14:paraId="686C51DE" w14:textId="77777777" w:rsidR="00BC1F00" w:rsidRPr="00242E6C" w:rsidRDefault="00BC1F00" w:rsidP="00BC1F00">
      <w:pPr>
        <w:keepLines/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indėlių draudimo sistemos dalyvių</w:t>
      </w:r>
      <w:r w:rsidRPr="00242E6C" w:rsidDel="005E60EA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 xml:space="preserve"> </w:t>
      </w:r>
      <w:r w:rsidRPr="00242E6C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 xml:space="preserve">ir ĮSIPAREIGOJIMŲ INVESTUOTOJAMS </w:t>
      </w:r>
      <w:r w:rsidRPr="00242E6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lt-LT"/>
        </w:rPr>
        <w:t>draudimo sistemos dalyvių</w:t>
      </w:r>
      <w:r w:rsidRPr="00242E6C" w:rsidDel="005E60EA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 xml:space="preserve"> </w:t>
      </w:r>
      <w:r w:rsidRPr="00242E6C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lt-LT"/>
        </w:rPr>
        <w:t xml:space="preserve">patikrinimo kategorijos lygio nustatymo </w:t>
      </w:r>
      <w:r w:rsidRPr="00242E6C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NUOSTATAI</w:t>
      </w:r>
    </w:p>
    <w:p w14:paraId="1E8D9588" w14:textId="77777777" w:rsidR="00BC1F00" w:rsidRPr="00242E6C" w:rsidRDefault="00BC1F00" w:rsidP="00BC1F00">
      <w:pPr>
        <w:keepLines/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38AE3AC1" w14:textId="77777777" w:rsidR="00BC1F00" w:rsidRPr="00242E6C" w:rsidRDefault="00BC1F00" w:rsidP="00BC1F00">
      <w:pPr>
        <w:keepLines/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14:paraId="0F10C85F" w14:textId="77777777" w:rsidR="00BC1F00" w:rsidRPr="00242E6C" w:rsidRDefault="00BC1F00" w:rsidP="00BC1F00">
      <w:pPr>
        <w:numPr>
          <w:ilvl w:val="0"/>
          <w:numId w:val="1"/>
        </w:numPr>
        <w:tabs>
          <w:tab w:val="left" w:pos="851"/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Indėlių draudimo sistemos dalyvių</w:t>
      </w:r>
      <w:r w:rsidRPr="00242E6C" w:rsidDel="005E60E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242E6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ir įsipareigojimų investuotojams </w:t>
      </w: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draudimo sistemos dalyvių</w:t>
      </w:r>
      <w:r w:rsidRPr="00242E6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patikrinimo kategorijos lygio nustatymo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nuostatai (toliau – Nuostatai) reguliuoja </w:t>
      </w: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indėlių draudimo sistemos dalyvių </w:t>
      </w:r>
      <w:r w:rsidRPr="00242E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t-LT"/>
        </w:rPr>
        <w:t xml:space="preserve">(toliau – IDS dalyvis) </w:t>
      </w: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ir įsipareigojimų investuotojams draudimo sistemos dalyvių </w:t>
      </w:r>
      <w:r w:rsidRPr="00242E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t-LT"/>
        </w:rPr>
        <w:t xml:space="preserve">(toliau – ĮIDS dalyvis)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atrankos planiniams patikrinimams (išmokų duomenų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tikrinimo) kriterijus. </w:t>
      </w:r>
    </w:p>
    <w:p w14:paraId="11E39837" w14:textId="77777777" w:rsidR="00BC1F00" w:rsidRPr="00242E6C" w:rsidRDefault="00BC1F00" w:rsidP="00BC1F00">
      <w:pPr>
        <w:numPr>
          <w:ilvl w:val="0"/>
          <w:numId w:val="1"/>
        </w:numPr>
        <w:tabs>
          <w:tab w:val="left" w:pos="851"/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Šie Nuostatai parengti siekiant IID įdiegti rizikos vertinimu pagrįstos </w:t>
      </w:r>
      <w:r w:rsidRPr="00242E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t-LT"/>
        </w:rPr>
        <w:t xml:space="preserve">IDS </w:t>
      </w: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dalyvių ir </w:t>
      </w:r>
      <w:r w:rsidRPr="00242E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t-LT"/>
        </w:rPr>
        <w:t xml:space="preserve">ĮIDS </w:t>
      </w: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dalyvių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patikrinimų sistemos veikimą.</w:t>
      </w:r>
    </w:p>
    <w:p w14:paraId="63533631" w14:textId="77777777" w:rsidR="00BC1F00" w:rsidRPr="00242E6C" w:rsidRDefault="00BC1F00" w:rsidP="00BC1F00">
      <w:pPr>
        <w:numPr>
          <w:ilvl w:val="0"/>
          <w:numId w:val="1"/>
        </w:numPr>
        <w:tabs>
          <w:tab w:val="left" w:pos="851"/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t-LT"/>
        </w:rPr>
        <w:t xml:space="preserve">IDS </w:t>
      </w: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dalyvių ir </w:t>
      </w:r>
      <w:r w:rsidRPr="00242E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t-LT"/>
        </w:rPr>
        <w:t xml:space="preserve">ĮIDS </w:t>
      </w: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dalyvių </w:t>
      </w:r>
      <w:r w:rsidRPr="00242E6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patikrinimo kategorijos lygio vertinimo rezultatus automatiniu būdu pagal ši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u</w:t>
      </w:r>
      <w:r w:rsidRPr="00242E6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ose Nuostatuose nustatytus vertinimo kriterijus apskaičiuoja ir pateikia elektroninė draudėjų patikrinimų valdymo sistema (toliau – </w:t>
      </w:r>
      <w:r w:rsidRPr="00242E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EDPVS)</w:t>
      </w:r>
      <w:r w:rsidRPr="00242E6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, kurioje kaupiami, sisteminami ir saugomi duomenys apie </w:t>
      </w:r>
      <w:r w:rsidRPr="00242E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t-LT"/>
        </w:rPr>
        <w:t xml:space="preserve">IDS </w:t>
      </w: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dalyvių ir </w:t>
      </w:r>
      <w:r w:rsidRPr="00242E6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lt-LT"/>
        </w:rPr>
        <w:t xml:space="preserve">ĮIDS </w:t>
      </w:r>
      <w:r w:rsidRPr="00242E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dalyvių</w:t>
      </w:r>
      <w:r w:rsidRPr="00242E6C" w:rsidDel="00AD061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242E6C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patikrinimus. </w:t>
      </w:r>
    </w:p>
    <w:p w14:paraId="0A52E932" w14:textId="77777777" w:rsidR="00BC1F00" w:rsidRPr="00242E6C" w:rsidRDefault="00BC1F00" w:rsidP="00BC1F00">
      <w:pPr>
        <w:numPr>
          <w:ilvl w:val="0"/>
          <w:numId w:val="1"/>
        </w:numPr>
        <w:tabs>
          <w:tab w:val="left" w:pos="851"/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Visų IDS dalyvių ir ĮIDS dalyvių patikrinimo kategorijos lygio vertinimas atliekamas prieš planuojamų tikrinti IDS dalyvių ir ĮIDS dalyvių sąrašo (toliau – patikrinimų planas) sudarymą – iki gruodžio 15 d.</w:t>
      </w:r>
      <w:r w:rsidRPr="002272A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Pr="00242E6C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Atliekant IDS dalyvių ir ĮIDS dalyvių patikrinimo kategorijos lygio vertinimus, patikrinimo kategorijos lygis nustatomas atskirai IDS dalyviams ir ĮIDS dalyviams pagal dalyvių priklausomumą atitinkamai sistemai – indėlių draudimo sistemai ir (arba) įsipareigojimų investuotojams draudimo sistemai. Jei bankas arba centrinė kredito unija, kaip IDS dalyvis ir ĮIDS dalyvis nors vienoje iš sistemų priskirtas aukštai ar vidutinei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pa</w:t>
      </w:r>
      <w:r w:rsidRPr="00242E6C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tikrinimo kategorijai, jis įtraukiamas į patikrinimų planą.</w:t>
      </w:r>
    </w:p>
    <w:p w14:paraId="29C8CC27" w14:textId="77777777" w:rsidR="00BC1F00" w:rsidRPr="00242E6C" w:rsidRDefault="00BC1F00" w:rsidP="00BC1F00">
      <w:pPr>
        <w:numPr>
          <w:ilvl w:val="0"/>
          <w:numId w:val="1"/>
        </w:numPr>
        <w:tabs>
          <w:tab w:val="left" w:pos="851"/>
          <w:tab w:val="left" w:pos="1134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sz w:val="24"/>
          <w:szCs w:val="24"/>
        </w:rPr>
        <w:t>Patikrinimo kategorijos</w:t>
      </w:r>
      <w:r w:rsidRPr="00242E6C">
        <w:rPr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bCs/>
          <w:sz w:val="24"/>
          <w:szCs w:val="24"/>
        </w:rPr>
        <w:t>lygio vertinimo kriterijų reikšmių duomenys nustatomi:</w:t>
      </w:r>
    </w:p>
    <w:p w14:paraId="174CB55C" w14:textId="77777777" w:rsidR="00BC1F00" w:rsidRPr="00242E6C" w:rsidRDefault="00BC1F00" w:rsidP="00BC1F00">
      <w:pPr>
        <w:numPr>
          <w:ilvl w:val="1"/>
          <w:numId w:val="1"/>
        </w:numPr>
        <w:tabs>
          <w:tab w:val="left" w:pos="851"/>
          <w:tab w:val="left" w:pos="1134"/>
          <w:tab w:val="left" w:pos="48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sz w:val="24"/>
          <w:szCs w:val="24"/>
        </w:rPr>
        <w:t>Masto kriterijų reikšmių duomenys nustatomi:</w:t>
      </w:r>
    </w:p>
    <w:p w14:paraId="74D63EF2" w14:textId="77777777" w:rsidR="00BC1F00" w:rsidRPr="008066DF" w:rsidRDefault="00BC1F00" w:rsidP="00BC1F00">
      <w:pPr>
        <w:numPr>
          <w:ilvl w:val="2"/>
          <w:numId w:val="1"/>
        </w:numPr>
        <w:tabs>
          <w:tab w:val="left" w:pos="851"/>
          <w:tab w:val="left" w:pos="1134"/>
          <w:tab w:val="left" w:pos="48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Pr="00242E6C">
        <w:rPr>
          <w:rFonts w:ascii="Times New Roman" w:hAnsi="Times New Roman"/>
          <w:sz w:val="24"/>
          <w:szCs w:val="24"/>
          <w:lang w:eastAsia="lt-LT"/>
        </w:rPr>
        <w:t>dalyvio</w:t>
      </w:r>
      <w:r w:rsidRPr="00242E6C">
        <w:rPr>
          <w:rFonts w:ascii="Times New Roman" w:hAnsi="Times New Roman"/>
          <w:bCs/>
          <w:sz w:val="24"/>
          <w:szCs w:val="24"/>
        </w:rPr>
        <w:t xml:space="preserve"> – iš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Pr="00242E6C">
        <w:rPr>
          <w:rFonts w:ascii="Times New Roman" w:hAnsi="Times New Roman"/>
          <w:sz w:val="24"/>
          <w:szCs w:val="24"/>
          <w:lang w:eastAsia="lt-LT"/>
        </w:rPr>
        <w:t>dalyvio</w:t>
      </w:r>
      <w:r w:rsidRPr="00242E6C">
        <w:rPr>
          <w:rFonts w:ascii="Times New Roman" w:hAnsi="Times New Roman"/>
          <w:bCs/>
          <w:sz w:val="24"/>
          <w:szCs w:val="24"/>
        </w:rPr>
        <w:t xml:space="preserve"> IID teiktų duomenų apie pas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Pr="00242E6C">
        <w:rPr>
          <w:rFonts w:ascii="Times New Roman" w:hAnsi="Times New Roman"/>
          <w:sz w:val="24"/>
          <w:szCs w:val="24"/>
          <w:lang w:eastAsia="lt-LT"/>
        </w:rPr>
        <w:t>dalyvį</w:t>
      </w:r>
      <w:r w:rsidRPr="00242E6C">
        <w:rPr>
          <w:rFonts w:ascii="Times New Roman" w:hAnsi="Times New Roman"/>
          <w:bCs/>
          <w:sz w:val="24"/>
          <w:szCs w:val="24"/>
        </w:rPr>
        <w:t xml:space="preserve"> indėlininkų laikomas pagrindinių indėlių sumas einamųjų metų</w:t>
      </w:r>
      <w:r>
        <w:rPr>
          <w:rFonts w:ascii="Times New Roman" w:hAnsi="Times New Roman"/>
          <w:bCs/>
          <w:sz w:val="24"/>
          <w:szCs w:val="24"/>
        </w:rPr>
        <w:t xml:space="preserve"> lapkričio 30 d</w:t>
      </w:r>
      <w:r w:rsidRPr="008066DF">
        <w:rPr>
          <w:rFonts w:ascii="Times New Roman" w:hAnsi="Times New Roman"/>
          <w:bCs/>
          <w:sz w:val="24"/>
          <w:szCs w:val="24"/>
        </w:rPr>
        <w:t>.;</w:t>
      </w:r>
      <w:r w:rsidRPr="008066D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5A39B06A" w14:textId="77777777" w:rsidR="00BC1F00" w:rsidRPr="00242E6C" w:rsidRDefault="00BC1F00" w:rsidP="00BC1F00">
      <w:pPr>
        <w:numPr>
          <w:ilvl w:val="2"/>
          <w:numId w:val="1"/>
        </w:numPr>
        <w:tabs>
          <w:tab w:val="left" w:pos="851"/>
          <w:tab w:val="left" w:pos="1134"/>
          <w:tab w:val="left" w:pos="48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242E6C">
        <w:rPr>
          <w:rFonts w:ascii="Times New Roman" w:hAnsi="Times New Roman"/>
          <w:bCs/>
          <w:sz w:val="24"/>
          <w:szCs w:val="24"/>
        </w:rPr>
        <w:t xml:space="preserve">dalyvio –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242E6C">
        <w:rPr>
          <w:rFonts w:ascii="Times New Roman" w:hAnsi="Times New Roman"/>
          <w:bCs/>
          <w:sz w:val="24"/>
          <w:szCs w:val="24"/>
        </w:rPr>
        <w:t xml:space="preserve">dalyvio IID teiktų duomenų apie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242E6C">
        <w:rPr>
          <w:rFonts w:ascii="Times New Roman" w:hAnsi="Times New Roman"/>
          <w:bCs/>
          <w:sz w:val="24"/>
          <w:szCs w:val="24"/>
        </w:rPr>
        <w:t xml:space="preserve">dalyvio per praėjusius kalendorinius metus klientų sąskaita įvykdytų pavedimų sumas ir Lietuvos banko teikiamos informacijos apie tai ar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242E6C">
        <w:rPr>
          <w:rFonts w:ascii="Times New Roman" w:hAnsi="Times New Roman"/>
          <w:bCs/>
          <w:sz w:val="24"/>
          <w:szCs w:val="24"/>
        </w:rPr>
        <w:t xml:space="preserve">dalyvis </w:t>
      </w:r>
      <w:r w:rsidRPr="00242E6C">
        <w:rPr>
          <w:rFonts w:ascii="Times New Roman" w:hAnsi="Times New Roman"/>
          <w:sz w:val="24"/>
          <w:szCs w:val="24"/>
        </w:rPr>
        <w:t xml:space="preserve">turi (neturi) teisę saugoti klientams </w:t>
      </w:r>
      <w:r w:rsidRPr="00242E6C">
        <w:rPr>
          <w:rFonts w:ascii="Times New Roman" w:hAnsi="Times New Roman"/>
          <w:color w:val="000000"/>
          <w:sz w:val="24"/>
          <w:szCs w:val="24"/>
        </w:rPr>
        <w:t xml:space="preserve">priklausančias finansines priemones ir (arba) pinigines lėšas. </w:t>
      </w:r>
    </w:p>
    <w:p w14:paraId="7231BEED" w14:textId="77777777" w:rsidR="00BC1F00" w:rsidRPr="00242E6C" w:rsidRDefault="00BC1F00" w:rsidP="00BC1F00">
      <w:pPr>
        <w:numPr>
          <w:ilvl w:val="1"/>
          <w:numId w:val="1"/>
        </w:numPr>
        <w:tabs>
          <w:tab w:val="left" w:pos="567"/>
          <w:tab w:val="left" w:pos="993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</w:rPr>
        <w:t xml:space="preserve">Tikimybės kriterijų reikšmių duomenys nustatomi iš paskutinio 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dalyvio ar </w:t>
      </w:r>
      <w:r w:rsidRPr="00242E6C">
        <w:rPr>
          <w:rFonts w:ascii="Times New Roman" w:hAnsi="Times New Roman"/>
          <w:sz w:val="24"/>
          <w:szCs w:val="24"/>
        </w:rPr>
        <w:t xml:space="preserve">ĮIDS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dalyvio įmokų duomenų vertinimo, </w:t>
      </w:r>
      <w:r w:rsidRPr="00242E6C">
        <w:rPr>
          <w:rFonts w:ascii="Times New Roman" w:hAnsi="Times New Roman"/>
          <w:sz w:val="24"/>
          <w:szCs w:val="24"/>
        </w:rPr>
        <w:t>planinio ir (ar) neplaninio patikrinimo duomenų (patikrinimo ataskaitų) ir Lietuvos banko teiktos informacijos apie Lietuvos banko per praėjusius kalendorinius metus ir iki einamųjų metų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FE3">
        <w:rPr>
          <w:rFonts w:ascii="Times New Roman" w:hAnsi="Times New Roman"/>
          <w:bCs/>
          <w:sz w:val="24"/>
          <w:szCs w:val="24"/>
        </w:rPr>
        <w:t>lapkričio 30 d</w:t>
      </w:r>
      <w:r w:rsidRPr="00332FE3">
        <w:rPr>
          <w:rFonts w:ascii="Times New Roman" w:hAnsi="Times New Roman"/>
          <w:sz w:val="24"/>
          <w:szCs w:val="24"/>
        </w:rPr>
        <w:t>.</w:t>
      </w:r>
      <w:r w:rsidRPr="00242E6C">
        <w:rPr>
          <w:rFonts w:ascii="Times New Roman" w:hAnsi="Times New Roman"/>
          <w:sz w:val="24"/>
          <w:szCs w:val="24"/>
        </w:rPr>
        <w:t xml:space="preserve"> 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dalyviui ar </w:t>
      </w:r>
      <w:r w:rsidRPr="00242E6C">
        <w:rPr>
          <w:rFonts w:ascii="Times New Roman" w:hAnsi="Times New Roman"/>
          <w:sz w:val="24"/>
          <w:szCs w:val="24"/>
        </w:rPr>
        <w:t xml:space="preserve">ĮIDS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dalyviui </w:t>
      </w:r>
      <w:r w:rsidRPr="00242E6C">
        <w:rPr>
          <w:rFonts w:ascii="Times New Roman" w:hAnsi="Times New Roman"/>
          <w:sz w:val="24"/>
          <w:szCs w:val="24"/>
        </w:rPr>
        <w:t>pritaikytas poveikio priemones.</w:t>
      </w:r>
    </w:p>
    <w:p w14:paraId="797683EE" w14:textId="77777777" w:rsidR="00BC1F00" w:rsidRPr="00242E6C" w:rsidRDefault="00BC1F00" w:rsidP="00BC1F00">
      <w:pPr>
        <w:numPr>
          <w:ilvl w:val="0"/>
          <w:numId w:val="1"/>
        </w:numPr>
        <w:tabs>
          <w:tab w:val="left" w:pos="993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sz w:val="24"/>
          <w:szCs w:val="24"/>
        </w:rPr>
        <w:t xml:space="preserve">Konkretaus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dalyvio ar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dalyvio </w:t>
      </w:r>
      <w:r w:rsidRPr="00242E6C">
        <w:rPr>
          <w:rFonts w:ascii="Times New Roman" w:hAnsi="Times New Roman"/>
          <w:bCs/>
          <w:sz w:val="24"/>
          <w:szCs w:val="24"/>
        </w:rPr>
        <w:t xml:space="preserve">patikrinimo kategorijos lygis (priskyrimas tam tikrai </w:t>
      </w:r>
      <w:r>
        <w:rPr>
          <w:rFonts w:ascii="Times New Roman" w:hAnsi="Times New Roman"/>
          <w:bCs/>
          <w:sz w:val="24"/>
          <w:szCs w:val="24"/>
        </w:rPr>
        <w:t>pa</w:t>
      </w:r>
      <w:r w:rsidRPr="00242E6C">
        <w:rPr>
          <w:rFonts w:ascii="Times New Roman" w:hAnsi="Times New Roman"/>
          <w:bCs/>
          <w:sz w:val="24"/>
          <w:szCs w:val="24"/>
        </w:rPr>
        <w:t xml:space="preserve">tikrinimų kategorijai) (toliau – </w:t>
      </w:r>
      <w:r w:rsidRPr="00242E6C">
        <w:rPr>
          <w:rFonts w:ascii="Times New Roman" w:hAnsi="Times New Roman"/>
          <w:b/>
          <w:bCs/>
          <w:sz w:val="24"/>
          <w:szCs w:val="24"/>
        </w:rPr>
        <w:t>(PK)</w:t>
      </w:r>
      <w:r w:rsidRPr="00242E6C">
        <w:rPr>
          <w:rFonts w:ascii="Times New Roman" w:hAnsi="Times New Roman"/>
          <w:bCs/>
          <w:sz w:val="24"/>
          <w:szCs w:val="24"/>
        </w:rPr>
        <w:t xml:space="preserve">) nustatomas pagal masto (toliau – </w:t>
      </w:r>
      <w:r w:rsidRPr="00242E6C">
        <w:rPr>
          <w:rFonts w:ascii="Times New Roman" w:hAnsi="Times New Roman"/>
          <w:b/>
          <w:bCs/>
          <w:sz w:val="24"/>
          <w:szCs w:val="24"/>
        </w:rPr>
        <w:t>(M)</w:t>
      </w:r>
      <w:r w:rsidRPr="00242E6C">
        <w:rPr>
          <w:rFonts w:ascii="Times New Roman" w:hAnsi="Times New Roman"/>
          <w:bCs/>
          <w:sz w:val="24"/>
          <w:szCs w:val="24"/>
        </w:rPr>
        <w:t xml:space="preserve">) ir tikimybės (toliau – </w:t>
      </w:r>
      <w:r w:rsidRPr="00242E6C">
        <w:rPr>
          <w:rFonts w:ascii="Times New Roman" w:hAnsi="Times New Roman"/>
          <w:b/>
          <w:bCs/>
          <w:sz w:val="24"/>
          <w:szCs w:val="24"/>
        </w:rPr>
        <w:t>(T)</w:t>
      </w:r>
      <w:r w:rsidRPr="00242E6C">
        <w:rPr>
          <w:rFonts w:ascii="Times New Roman" w:hAnsi="Times New Roman"/>
          <w:bCs/>
          <w:sz w:val="24"/>
          <w:szCs w:val="24"/>
        </w:rPr>
        <w:t>) kriterijus ir jų reikšmes.</w:t>
      </w:r>
    </w:p>
    <w:p w14:paraId="52B028C9" w14:textId="77777777" w:rsidR="00BC1F00" w:rsidRPr="00242E6C" w:rsidRDefault="00BC1F00" w:rsidP="00BC1F00">
      <w:pPr>
        <w:numPr>
          <w:ilvl w:val="0"/>
          <w:numId w:val="1"/>
        </w:numPr>
        <w:tabs>
          <w:tab w:val="left" w:pos="993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/>
          <w:bCs/>
          <w:sz w:val="24"/>
          <w:szCs w:val="24"/>
        </w:rPr>
        <w:t>(PK)</w:t>
      </w:r>
      <w:r w:rsidRPr="00242E6C">
        <w:rPr>
          <w:rFonts w:ascii="Times New Roman" w:hAnsi="Times New Roman"/>
          <w:bCs/>
          <w:sz w:val="24"/>
          <w:szCs w:val="24"/>
        </w:rPr>
        <w:t xml:space="preserve"> nustatomas padauginus masto koeficientą (toliau – </w:t>
      </w:r>
      <w:r w:rsidRPr="00242E6C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242E6C">
        <w:rPr>
          <w:rFonts w:ascii="Times New Roman" w:hAnsi="Times New Roman"/>
          <w:b/>
          <w:bCs/>
          <w:sz w:val="24"/>
          <w:szCs w:val="24"/>
        </w:rPr>
        <w:t>M</w:t>
      </w:r>
      <w:r w:rsidRPr="00242E6C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proofErr w:type="spellEnd"/>
      <w:r w:rsidRPr="00242E6C">
        <w:rPr>
          <w:rFonts w:ascii="Times New Roman" w:hAnsi="Times New Roman"/>
          <w:b/>
          <w:bCs/>
          <w:sz w:val="24"/>
          <w:szCs w:val="24"/>
        </w:rPr>
        <w:t>)</w:t>
      </w:r>
      <w:r w:rsidRPr="00242E6C">
        <w:rPr>
          <w:rFonts w:ascii="Times New Roman" w:hAnsi="Times New Roman"/>
          <w:bCs/>
          <w:sz w:val="24"/>
          <w:szCs w:val="24"/>
        </w:rPr>
        <w:t xml:space="preserve">) su tikimybės koeficientu (toliau – </w:t>
      </w:r>
      <w:r w:rsidRPr="00242E6C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242E6C">
        <w:rPr>
          <w:rFonts w:ascii="Times New Roman" w:hAnsi="Times New Roman"/>
          <w:b/>
          <w:bCs/>
          <w:sz w:val="24"/>
          <w:szCs w:val="24"/>
        </w:rPr>
        <w:t>T</w:t>
      </w:r>
      <w:r w:rsidRPr="00242E6C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proofErr w:type="spellEnd"/>
      <w:r w:rsidRPr="00242E6C">
        <w:rPr>
          <w:rFonts w:ascii="Times New Roman" w:hAnsi="Times New Roman"/>
          <w:b/>
          <w:bCs/>
          <w:sz w:val="24"/>
          <w:szCs w:val="24"/>
        </w:rPr>
        <w:t>)</w:t>
      </w:r>
      <w:r w:rsidRPr="00242E6C">
        <w:rPr>
          <w:rFonts w:ascii="Times New Roman" w:hAnsi="Times New Roman"/>
          <w:bCs/>
          <w:sz w:val="24"/>
          <w:szCs w:val="24"/>
        </w:rPr>
        <w:t>) (</w:t>
      </w:r>
      <w:r w:rsidRPr="00242E6C">
        <w:rPr>
          <w:rFonts w:ascii="Times New Roman" w:hAnsi="Times New Roman"/>
          <w:b/>
          <w:bCs/>
          <w:sz w:val="24"/>
          <w:szCs w:val="24"/>
        </w:rPr>
        <w:t>(R) = (</w:t>
      </w:r>
      <w:proofErr w:type="spellStart"/>
      <w:r w:rsidRPr="00242E6C">
        <w:rPr>
          <w:rFonts w:ascii="Times New Roman" w:hAnsi="Times New Roman"/>
          <w:b/>
          <w:bCs/>
          <w:sz w:val="24"/>
          <w:szCs w:val="24"/>
        </w:rPr>
        <w:t>M</w:t>
      </w:r>
      <w:r w:rsidRPr="00242E6C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proofErr w:type="spellEnd"/>
      <w:r w:rsidRPr="00242E6C">
        <w:rPr>
          <w:rFonts w:ascii="Times New Roman" w:hAnsi="Times New Roman"/>
          <w:b/>
          <w:bCs/>
          <w:sz w:val="24"/>
          <w:szCs w:val="24"/>
        </w:rPr>
        <w:t>) × (</w:t>
      </w:r>
      <w:proofErr w:type="spellStart"/>
      <w:r w:rsidRPr="00242E6C">
        <w:rPr>
          <w:rFonts w:ascii="Times New Roman" w:hAnsi="Times New Roman"/>
          <w:b/>
          <w:bCs/>
          <w:sz w:val="24"/>
          <w:szCs w:val="24"/>
        </w:rPr>
        <w:t>T</w:t>
      </w:r>
      <w:r w:rsidRPr="00242E6C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proofErr w:type="spellEnd"/>
      <w:r w:rsidRPr="00242E6C">
        <w:rPr>
          <w:rFonts w:ascii="Times New Roman" w:hAnsi="Times New Roman"/>
          <w:b/>
          <w:bCs/>
          <w:sz w:val="24"/>
          <w:szCs w:val="24"/>
        </w:rPr>
        <w:t>)</w:t>
      </w:r>
      <w:r w:rsidRPr="00242E6C">
        <w:rPr>
          <w:rFonts w:ascii="Times New Roman" w:hAnsi="Times New Roman"/>
          <w:bCs/>
          <w:sz w:val="24"/>
          <w:szCs w:val="24"/>
        </w:rPr>
        <w:t xml:space="preserve">). Priklausomai nuo </w:t>
      </w:r>
      <w:r w:rsidRPr="00242E6C">
        <w:rPr>
          <w:rFonts w:ascii="Times New Roman" w:hAnsi="Times New Roman"/>
          <w:b/>
          <w:bCs/>
          <w:sz w:val="24"/>
          <w:szCs w:val="24"/>
        </w:rPr>
        <w:t xml:space="preserve">(PK) </w:t>
      </w:r>
      <w:r w:rsidRPr="00242E6C">
        <w:rPr>
          <w:rFonts w:ascii="Times New Roman" w:hAnsi="Times New Roman"/>
          <w:bCs/>
          <w:sz w:val="24"/>
          <w:szCs w:val="24"/>
        </w:rPr>
        <w:t xml:space="preserve">bendro balo sumos,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dalyviai ir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dalyviai kiekvienoje sistemoje (atskirai </w:t>
      </w:r>
      <w:r w:rsidRPr="00242E6C">
        <w:rPr>
          <w:rFonts w:ascii="Times New Roman" w:hAnsi="Times New Roman"/>
          <w:bCs/>
          <w:iCs/>
          <w:sz w:val="24"/>
          <w:szCs w:val="24"/>
        </w:rPr>
        <w:t>indėlių draudimo sistemoje ir įsipareigojimų investuotojams draudimo sistemoje)</w:t>
      </w:r>
      <w:r w:rsidRPr="00242E6C">
        <w:rPr>
          <w:rFonts w:ascii="Times New Roman" w:hAnsi="Times New Roman"/>
          <w:bCs/>
          <w:sz w:val="24"/>
          <w:szCs w:val="24"/>
        </w:rPr>
        <w:t xml:space="preserve"> sugrupuojami į tris patikrinimo kategorijas – aukštą </w:t>
      </w:r>
      <w:r>
        <w:rPr>
          <w:rFonts w:ascii="Times New Roman" w:hAnsi="Times New Roman"/>
          <w:bCs/>
          <w:sz w:val="24"/>
          <w:szCs w:val="24"/>
        </w:rPr>
        <w:t>pa</w:t>
      </w:r>
      <w:r w:rsidRPr="00242E6C">
        <w:rPr>
          <w:rFonts w:ascii="Times New Roman" w:hAnsi="Times New Roman"/>
          <w:bCs/>
          <w:sz w:val="24"/>
          <w:szCs w:val="24"/>
        </w:rPr>
        <w:t xml:space="preserve">tikrinimų kategoriją, vidutinę </w:t>
      </w:r>
      <w:r>
        <w:rPr>
          <w:rFonts w:ascii="Times New Roman" w:hAnsi="Times New Roman"/>
          <w:bCs/>
          <w:sz w:val="24"/>
          <w:szCs w:val="24"/>
        </w:rPr>
        <w:t>pa</w:t>
      </w:r>
      <w:r w:rsidRPr="00242E6C">
        <w:rPr>
          <w:rFonts w:ascii="Times New Roman" w:hAnsi="Times New Roman"/>
          <w:bCs/>
          <w:sz w:val="24"/>
          <w:szCs w:val="24"/>
        </w:rPr>
        <w:t xml:space="preserve">tikrinimų kategoriją ir žemą </w:t>
      </w:r>
      <w:r>
        <w:rPr>
          <w:rFonts w:ascii="Times New Roman" w:hAnsi="Times New Roman"/>
          <w:bCs/>
          <w:sz w:val="24"/>
          <w:szCs w:val="24"/>
        </w:rPr>
        <w:t>pa</w:t>
      </w:r>
      <w:r w:rsidRPr="00242E6C">
        <w:rPr>
          <w:rFonts w:ascii="Times New Roman" w:hAnsi="Times New Roman"/>
          <w:bCs/>
          <w:sz w:val="24"/>
          <w:szCs w:val="24"/>
        </w:rPr>
        <w:t>tikrinimų kategoriją.</w:t>
      </w:r>
    </w:p>
    <w:p w14:paraId="4B199371" w14:textId="77777777" w:rsidR="00BC1F00" w:rsidRDefault="00BC1F00" w:rsidP="00BC1F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3A2986" w14:textId="77777777" w:rsidR="00BC1F00" w:rsidRDefault="00BC1F00" w:rsidP="00BC1F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57BA7E" w14:textId="77777777" w:rsidR="00BC1F00" w:rsidRPr="00242E6C" w:rsidRDefault="00BC1F00" w:rsidP="00BC1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E6C">
        <w:rPr>
          <w:rFonts w:ascii="Times New Roman" w:hAnsi="Times New Roman"/>
          <w:b/>
          <w:bCs/>
          <w:iCs/>
          <w:sz w:val="24"/>
          <w:szCs w:val="24"/>
        </w:rPr>
        <w:t>IDS dalyvio</w:t>
      </w:r>
      <w:r w:rsidRPr="00242E6C">
        <w:rPr>
          <w:bCs/>
          <w:iCs/>
          <w:sz w:val="24"/>
          <w:szCs w:val="24"/>
        </w:rPr>
        <w:t xml:space="preserve"> (</w:t>
      </w:r>
      <w:r w:rsidRPr="00242E6C">
        <w:rPr>
          <w:rFonts w:ascii="Times New Roman" w:hAnsi="Times New Roman"/>
          <w:b/>
          <w:bCs/>
          <w:sz w:val="24"/>
          <w:szCs w:val="24"/>
        </w:rPr>
        <w:t>banko, kredito unijos ir (ar) centrinės kredito unijos) patikrinimo kategorijos</w:t>
      </w:r>
      <w:r w:rsidRPr="00242E6C">
        <w:rPr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b/>
          <w:sz w:val="24"/>
          <w:szCs w:val="24"/>
        </w:rPr>
        <w:t>lygio nustatymas</w:t>
      </w:r>
    </w:p>
    <w:p w14:paraId="719A522E" w14:textId="77777777" w:rsidR="00BC1F00" w:rsidRPr="00242E6C" w:rsidRDefault="00BC1F00" w:rsidP="00BC1F00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484FA9D1" w14:textId="77777777" w:rsidR="00BC1F00" w:rsidRPr="00242E6C" w:rsidRDefault="00BC1F00" w:rsidP="00BC1F00">
      <w:pPr>
        <w:numPr>
          <w:ilvl w:val="0"/>
          <w:numId w:val="1"/>
        </w:numPr>
        <w:tabs>
          <w:tab w:val="left" w:pos="1134"/>
          <w:tab w:val="left" w:pos="4820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>IDS dalyvio</w:t>
      </w:r>
      <w:r w:rsidRPr="00242E6C">
        <w:rPr>
          <w:bCs/>
          <w:iCs/>
          <w:sz w:val="24"/>
          <w:szCs w:val="24"/>
        </w:rPr>
        <w:t xml:space="preserve"> </w:t>
      </w:r>
      <w:r w:rsidRPr="00242E6C">
        <w:rPr>
          <w:rFonts w:ascii="Times New Roman" w:hAnsi="Times New Roman"/>
          <w:b/>
          <w:bCs/>
          <w:sz w:val="24"/>
          <w:szCs w:val="24"/>
        </w:rPr>
        <w:t>(PK)</w:t>
      </w:r>
      <w:r w:rsidRPr="00242E6C">
        <w:rPr>
          <w:rFonts w:ascii="Times New Roman" w:hAnsi="Times New Roman"/>
          <w:bCs/>
          <w:sz w:val="24"/>
          <w:szCs w:val="24"/>
        </w:rPr>
        <w:t>:</w:t>
      </w:r>
    </w:p>
    <w:p w14:paraId="3332A18D" w14:textId="77777777" w:rsidR="00BC1F00" w:rsidRPr="00242E6C" w:rsidRDefault="00BC1F00" w:rsidP="00BC1F00">
      <w:pPr>
        <w:numPr>
          <w:ilvl w:val="1"/>
          <w:numId w:val="1"/>
        </w:numPr>
        <w:tabs>
          <w:tab w:val="left" w:pos="1134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/>
          <w:bCs/>
          <w:sz w:val="24"/>
          <w:szCs w:val="24"/>
        </w:rPr>
        <w:t>(M)</w:t>
      </w:r>
      <w:r w:rsidRPr="00242E6C">
        <w:rPr>
          <w:rFonts w:ascii="Times New Roman" w:hAnsi="Times New Roman"/>
          <w:bCs/>
          <w:sz w:val="24"/>
          <w:szCs w:val="24"/>
        </w:rPr>
        <w:t xml:space="preserve"> priklauso nuo pas konkretų </w:t>
      </w:r>
      <w:r w:rsidRPr="00242E6C">
        <w:rPr>
          <w:rFonts w:ascii="Times New Roman" w:hAnsi="Times New Roman"/>
          <w:bCs/>
          <w:iCs/>
          <w:sz w:val="24"/>
          <w:szCs w:val="24"/>
        </w:rPr>
        <w:t>IDS dalyvį</w:t>
      </w:r>
      <w:r w:rsidRPr="00242E6C">
        <w:rPr>
          <w:rFonts w:ascii="Times New Roman" w:hAnsi="Times New Roman"/>
          <w:bCs/>
          <w:sz w:val="24"/>
          <w:szCs w:val="24"/>
        </w:rPr>
        <w:t xml:space="preserve"> indėlininkų laikomų indėlių, nuo kurių mokamos indėlių draudimo įmokos, sumos ir pas visus </w:t>
      </w:r>
      <w:r w:rsidRPr="00242E6C">
        <w:rPr>
          <w:rFonts w:ascii="Times New Roman" w:hAnsi="Times New Roman"/>
          <w:bCs/>
          <w:iCs/>
          <w:sz w:val="24"/>
          <w:szCs w:val="24"/>
        </w:rPr>
        <w:t>IDS dalyvius</w:t>
      </w:r>
      <w:r w:rsidRPr="00242E6C">
        <w:rPr>
          <w:rFonts w:ascii="Times New Roman" w:hAnsi="Times New Roman"/>
          <w:bCs/>
          <w:sz w:val="24"/>
          <w:szCs w:val="24"/>
        </w:rPr>
        <w:t xml:space="preserve"> indėlininkų laikomų indėlių, nuo kurių mokamos indėlių draudimo įmokos, sumos santykio išreikšto procentais. Priklausomai nuo minėto santykio dydžio visi </w:t>
      </w:r>
      <w:r w:rsidRPr="00242E6C">
        <w:rPr>
          <w:rFonts w:ascii="Times New Roman" w:hAnsi="Times New Roman"/>
          <w:bCs/>
          <w:iCs/>
          <w:sz w:val="24"/>
          <w:szCs w:val="24"/>
        </w:rPr>
        <w:t>IDS dalyviai</w:t>
      </w:r>
      <w:r w:rsidRPr="00242E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42E6C">
        <w:rPr>
          <w:rFonts w:ascii="Times New Roman" w:hAnsi="Times New Roman"/>
          <w:bCs/>
          <w:sz w:val="24"/>
          <w:szCs w:val="24"/>
        </w:rPr>
        <w:t>suskirstomi į penkias masto grupes, o tam tikrai masto grupei suteikiamas atitinkamas</w:t>
      </w:r>
      <w:r w:rsidRPr="00242E6C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242E6C">
        <w:rPr>
          <w:rFonts w:ascii="Times New Roman" w:hAnsi="Times New Roman"/>
          <w:b/>
          <w:bCs/>
          <w:sz w:val="24"/>
          <w:szCs w:val="24"/>
        </w:rPr>
        <w:t>M</w:t>
      </w:r>
      <w:r w:rsidRPr="00242E6C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proofErr w:type="spellEnd"/>
      <w:r w:rsidRPr="00242E6C">
        <w:rPr>
          <w:rFonts w:ascii="Times New Roman" w:hAnsi="Times New Roman"/>
          <w:b/>
          <w:bCs/>
          <w:sz w:val="24"/>
          <w:szCs w:val="24"/>
        </w:rPr>
        <w:t>)</w:t>
      </w:r>
      <w:r w:rsidRPr="00242E6C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510"/>
        <w:gridCol w:w="850"/>
      </w:tblGrid>
      <w:tr w:rsidR="00BC1F00" w:rsidRPr="00242E6C" w14:paraId="682E7580" w14:textId="77777777" w:rsidTr="00BC1F00">
        <w:trPr>
          <w:trHeight w:val="53"/>
          <w:jc w:val="center"/>
        </w:trPr>
        <w:tc>
          <w:tcPr>
            <w:tcW w:w="1416" w:type="dxa"/>
            <w:shd w:val="clear" w:color="auto" w:fill="auto"/>
            <w:noWrap/>
            <w:vAlign w:val="center"/>
          </w:tcPr>
          <w:p w14:paraId="386C63E8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Masto grupės</w:t>
            </w:r>
          </w:p>
        </w:tc>
        <w:tc>
          <w:tcPr>
            <w:tcW w:w="7510" w:type="dxa"/>
            <w:vAlign w:val="center"/>
          </w:tcPr>
          <w:p w14:paraId="31419246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(M)</w:t>
            </w:r>
            <w:r w:rsidRPr="00242E6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3B955CD9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hAnsi="Times New Roman"/>
                <w:bCs/>
                <w:sz w:val="18"/>
                <w:szCs w:val="18"/>
              </w:rPr>
              <w:t xml:space="preserve">Pas konkretų </w:t>
            </w:r>
            <w:r w:rsidRPr="00242E6C">
              <w:rPr>
                <w:rFonts w:ascii="Times New Roman" w:hAnsi="Times New Roman"/>
                <w:bCs/>
                <w:iCs/>
                <w:sz w:val="16"/>
                <w:szCs w:val="16"/>
              </w:rPr>
              <w:t>IDS dalyvį</w:t>
            </w:r>
            <w:r w:rsidRPr="00242E6C">
              <w:rPr>
                <w:rFonts w:ascii="Times New Roman" w:hAnsi="Times New Roman"/>
                <w:bCs/>
                <w:sz w:val="18"/>
                <w:szCs w:val="18"/>
              </w:rPr>
              <w:t xml:space="preserve"> indėlininkų laikomų indėlių, nuo kurių mokamos indėlių draudimo įmokos, sumos ir pas visus </w:t>
            </w:r>
            <w:r w:rsidRPr="00242E6C">
              <w:rPr>
                <w:rFonts w:ascii="Times New Roman" w:hAnsi="Times New Roman"/>
                <w:bCs/>
                <w:iCs/>
                <w:sz w:val="16"/>
                <w:szCs w:val="16"/>
              </w:rPr>
              <w:t>IDS dalyvius</w:t>
            </w:r>
            <w:r w:rsidRPr="00242E6C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Pr="00242E6C">
              <w:rPr>
                <w:rFonts w:ascii="Times New Roman" w:hAnsi="Times New Roman"/>
                <w:bCs/>
                <w:sz w:val="18"/>
                <w:szCs w:val="18"/>
              </w:rPr>
              <w:t>indėlininkų laikomų indėlių, nuo kurių mokamos indėlių draudimo įmokos, sumos santykis procentais</w:t>
            </w:r>
          </w:p>
        </w:tc>
        <w:tc>
          <w:tcPr>
            <w:tcW w:w="850" w:type="dxa"/>
            <w:vAlign w:val="center"/>
          </w:tcPr>
          <w:p w14:paraId="6C17CD5E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</w:t>
            </w:r>
            <w:proofErr w:type="spellStart"/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M</w:t>
            </w:r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lt-LT"/>
              </w:rPr>
              <w:t>k</w:t>
            </w:r>
            <w:proofErr w:type="spellEnd"/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)</w:t>
            </w:r>
          </w:p>
        </w:tc>
      </w:tr>
      <w:tr w:rsidR="00BC1F00" w:rsidRPr="00242E6C" w14:paraId="0A1AEF48" w14:textId="77777777" w:rsidTr="00BC1F00">
        <w:trPr>
          <w:trHeight w:val="53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95E8E22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grupė</w:t>
            </w:r>
          </w:p>
        </w:tc>
        <w:tc>
          <w:tcPr>
            <w:tcW w:w="7510" w:type="dxa"/>
            <w:vAlign w:val="center"/>
          </w:tcPr>
          <w:p w14:paraId="1B7F9801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30 %</w:t>
            </w:r>
          </w:p>
        </w:tc>
        <w:tc>
          <w:tcPr>
            <w:tcW w:w="850" w:type="dxa"/>
            <w:vAlign w:val="center"/>
          </w:tcPr>
          <w:p w14:paraId="08F71630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</w:t>
            </w:r>
          </w:p>
        </w:tc>
      </w:tr>
      <w:tr w:rsidR="00BC1F00" w:rsidRPr="00242E6C" w14:paraId="397E859F" w14:textId="77777777" w:rsidTr="00BC1F00">
        <w:trPr>
          <w:trHeight w:val="53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65A4757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grupė</w:t>
            </w:r>
          </w:p>
        </w:tc>
        <w:tc>
          <w:tcPr>
            <w:tcW w:w="7510" w:type="dxa"/>
            <w:vAlign w:val="center"/>
          </w:tcPr>
          <w:p w14:paraId="106FB890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10 % - 29,99 %</w:t>
            </w:r>
          </w:p>
        </w:tc>
        <w:tc>
          <w:tcPr>
            <w:tcW w:w="850" w:type="dxa"/>
            <w:vAlign w:val="center"/>
          </w:tcPr>
          <w:p w14:paraId="29082BA1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</w:t>
            </w:r>
          </w:p>
        </w:tc>
      </w:tr>
      <w:tr w:rsidR="00BC1F00" w:rsidRPr="00242E6C" w14:paraId="65A3063A" w14:textId="77777777" w:rsidTr="00BC1F00">
        <w:trPr>
          <w:trHeight w:val="169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5D8FF33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grupė</w:t>
            </w:r>
          </w:p>
        </w:tc>
        <w:tc>
          <w:tcPr>
            <w:tcW w:w="7510" w:type="dxa"/>
            <w:vAlign w:val="center"/>
          </w:tcPr>
          <w:p w14:paraId="30C32A95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1 % - 9,99  %</w:t>
            </w:r>
          </w:p>
        </w:tc>
        <w:tc>
          <w:tcPr>
            <w:tcW w:w="850" w:type="dxa"/>
            <w:vAlign w:val="center"/>
          </w:tcPr>
          <w:p w14:paraId="4A4574EA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</w:t>
            </w:r>
          </w:p>
        </w:tc>
      </w:tr>
      <w:tr w:rsidR="00BC1F00" w:rsidRPr="00242E6C" w14:paraId="5ACBFD6C" w14:textId="77777777" w:rsidTr="00BC1F00">
        <w:trPr>
          <w:trHeight w:val="187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32DB61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grupė</w:t>
            </w:r>
          </w:p>
        </w:tc>
        <w:tc>
          <w:tcPr>
            <w:tcW w:w="7510" w:type="dxa"/>
            <w:vAlign w:val="center"/>
          </w:tcPr>
          <w:p w14:paraId="4C16D8D3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0,1 % - 0,99 %</w:t>
            </w:r>
          </w:p>
        </w:tc>
        <w:tc>
          <w:tcPr>
            <w:tcW w:w="850" w:type="dxa"/>
            <w:vAlign w:val="center"/>
          </w:tcPr>
          <w:p w14:paraId="23890686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</w:t>
            </w:r>
          </w:p>
        </w:tc>
      </w:tr>
      <w:tr w:rsidR="00BC1F00" w:rsidRPr="00242E6C" w14:paraId="6CD3F838" w14:textId="77777777" w:rsidTr="00BC1F00">
        <w:trPr>
          <w:trHeight w:val="97"/>
          <w:jc w:val="center"/>
        </w:trPr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EC601A8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 grupė</w:t>
            </w:r>
          </w:p>
        </w:tc>
        <w:tc>
          <w:tcPr>
            <w:tcW w:w="7510" w:type="dxa"/>
            <w:vAlign w:val="center"/>
          </w:tcPr>
          <w:p w14:paraId="6D3A79AC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iki 0,09 %</w:t>
            </w:r>
          </w:p>
        </w:tc>
        <w:tc>
          <w:tcPr>
            <w:tcW w:w="850" w:type="dxa"/>
            <w:vAlign w:val="center"/>
          </w:tcPr>
          <w:p w14:paraId="775AAE0C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</w:t>
            </w:r>
          </w:p>
        </w:tc>
      </w:tr>
    </w:tbl>
    <w:p w14:paraId="1AE671E9" w14:textId="77777777" w:rsidR="00BC1F00" w:rsidRPr="00242E6C" w:rsidRDefault="00BC1F00" w:rsidP="00BC1F00">
      <w:pPr>
        <w:numPr>
          <w:ilvl w:val="1"/>
          <w:numId w:val="1"/>
        </w:numPr>
        <w:tabs>
          <w:tab w:val="left" w:pos="568"/>
          <w:tab w:val="left" w:pos="1134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b/>
          <w:bCs/>
          <w:sz w:val="24"/>
          <w:szCs w:val="24"/>
        </w:rPr>
        <w:t>(T)</w:t>
      </w:r>
      <w:r w:rsidRPr="00242E6C">
        <w:rPr>
          <w:rFonts w:ascii="Times New Roman" w:hAnsi="Times New Roman"/>
          <w:sz w:val="24"/>
          <w:szCs w:val="24"/>
        </w:rPr>
        <w:t xml:space="preserve"> – tikimybė, kad IDS dalyvis nesilaiko indėlių investuotojams draudimo tvarkos, nustatytos Lietuvos Respublikos indėlių ir įsipareigojimų investuotojams draudimo įstatyme (toliau – IĮIDĮ) ir jo įgyvendinamųjų teisės aktų nustatytuose reikalavimuose. Visi IDS dalyviai</w:t>
      </w:r>
      <w:r w:rsidRPr="00242E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sz w:val="24"/>
          <w:szCs w:val="24"/>
        </w:rPr>
        <w:t xml:space="preserve">pagal šį kriterijų ir jo reikšmes suskirstomi į šešias tikimybės grupes, o tam tikrai tikimybės grupei suteikiamas atitinkamas </w:t>
      </w:r>
      <w:r w:rsidRPr="00242E6C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242E6C">
        <w:rPr>
          <w:rFonts w:ascii="Times New Roman" w:hAnsi="Times New Roman"/>
          <w:b/>
          <w:bCs/>
          <w:sz w:val="24"/>
          <w:szCs w:val="24"/>
        </w:rPr>
        <w:t>T</w:t>
      </w:r>
      <w:r w:rsidRPr="00242E6C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proofErr w:type="spellEnd"/>
      <w:r w:rsidRPr="00242E6C">
        <w:rPr>
          <w:rFonts w:ascii="Times New Roman" w:hAnsi="Times New Roman"/>
          <w:b/>
          <w:bCs/>
          <w:sz w:val="24"/>
          <w:szCs w:val="24"/>
        </w:rPr>
        <w:t>)</w:t>
      </w:r>
      <w:r w:rsidRPr="00242E6C">
        <w:rPr>
          <w:rFonts w:ascii="Times New Roman" w:hAnsi="Times New Roman"/>
          <w:sz w:val="24"/>
          <w:szCs w:val="24"/>
        </w:rPr>
        <w:t>. Konkretaus IDS dalyvio</w:t>
      </w:r>
      <w:r w:rsidRPr="00242E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sz w:val="24"/>
          <w:szCs w:val="24"/>
        </w:rPr>
        <w:t>priskyrimą tam tikrai tikimybės grupei lemia surinktų balų suma (8.2.1 – 8.2.7 papunkčiuose nurodyti balai susumuojami):</w:t>
      </w:r>
    </w:p>
    <w:tbl>
      <w:tblPr>
        <w:tblW w:w="4678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1276"/>
      </w:tblGrid>
      <w:tr w:rsidR="00BC1F00" w:rsidRPr="00242E6C" w14:paraId="20312ACD" w14:textId="77777777" w:rsidTr="00957351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AAF9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Tikimybės grupės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D632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76F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242E6C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242E6C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k</w:t>
            </w:r>
            <w:proofErr w:type="spellEnd"/>
            <w:r w:rsidRPr="00242E6C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BC1F00" w:rsidRPr="00242E6C" w14:paraId="5A496E1A" w14:textId="77777777" w:rsidTr="00957351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CD45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9EE4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5 balai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DF7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</w:t>
            </w:r>
          </w:p>
        </w:tc>
      </w:tr>
      <w:tr w:rsidR="00BC1F00" w:rsidRPr="00242E6C" w14:paraId="4343C932" w14:textId="77777777" w:rsidTr="00957351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BF53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B1DD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balas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58B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15</w:t>
            </w:r>
          </w:p>
        </w:tc>
      </w:tr>
      <w:tr w:rsidR="00BC1F00" w:rsidRPr="00242E6C" w14:paraId="580A1717" w14:textId="77777777" w:rsidTr="00957351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69BE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6B0D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balai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112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</w:t>
            </w:r>
          </w:p>
        </w:tc>
      </w:tr>
      <w:tr w:rsidR="00BC1F00" w:rsidRPr="00242E6C" w14:paraId="427E92D2" w14:textId="77777777" w:rsidTr="00957351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A865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F8C5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balai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B61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</w:t>
            </w:r>
          </w:p>
        </w:tc>
      </w:tr>
      <w:tr w:rsidR="00BC1F00" w:rsidRPr="00242E6C" w14:paraId="46852147" w14:textId="77777777" w:rsidTr="00957351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26D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A4CC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balai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E9B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</w:t>
            </w:r>
          </w:p>
        </w:tc>
      </w:tr>
      <w:tr w:rsidR="00BC1F00" w:rsidRPr="00242E6C" w14:paraId="1B5F6866" w14:textId="77777777" w:rsidTr="00957351">
        <w:trPr>
          <w:trHeight w:val="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77A2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 grupė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6FB3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 balų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498" w14:textId="77777777" w:rsidR="00BC1F00" w:rsidRPr="00242E6C" w:rsidRDefault="00BC1F00" w:rsidP="00957351">
            <w:pPr>
              <w:tabs>
                <w:tab w:val="left" w:pos="709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</w:t>
            </w:r>
          </w:p>
        </w:tc>
      </w:tr>
    </w:tbl>
    <w:p w14:paraId="3634C7FA" w14:textId="77777777" w:rsidR="00BC1F00" w:rsidRPr="00242E6C" w:rsidRDefault="00BC1F00" w:rsidP="00BC1F00">
      <w:pPr>
        <w:numPr>
          <w:ilvl w:val="2"/>
          <w:numId w:val="1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3DBA6197">
        <w:rPr>
          <w:rFonts w:ascii="Times New Roman" w:hAnsi="Times New Roman"/>
          <w:sz w:val="24"/>
          <w:szCs w:val="24"/>
          <w:lang w:eastAsia="lt-LT"/>
        </w:rPr>
        <w:t xml:space="preserve">jeigu IID anksčiau nėra tikrinusi </w:t>
      </w:r>
      <w:r w:rsidRPr="3DBA6197">
        <w:rPr>
          <w:rFonts w:ascii="Times New Roman" w:hAnsi="Times New Roman"/>
          <w:sz w:val="24"/>
          <w:szCs w:val="24"/>
        </w:rPr>
        <w:t>IDS dalyvio</w:t>
      </w:r>
      <w:r w:rsidRPr="3DBA61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3DBA6197">
        <w:rPr>
          <w:rFonts w:ascii="Times New Roman" w:hAnsi="Times New Roman"/>
          <w:sz w:val="24"/>
          <w:szCs w:val="24"/>
          <w:lang w:eastAsia="lt-LT"/>
        </w:rPr>
        <w:t>ar nuo paskutinio draudimo išmokų duomenų patikrinimo praėjo daugiau kaip 2 metai – 5 balai;</w:t>
      </w:r>
    </w:p>
    <w:p w14:paraId="21E8A122" w14:textId="77777777" w:rsidR="00BC1F00" w:rsidRPr="00242E6C" w:rsidRDefault="00BC1F00" w:rsidP="00BC1F00">
      <w:pPr>
        <w:numPr>
          <w:ilvl w:val="2"/>
          <w:numId w:val="1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 xml:space="preserve">IDS dalyviui </w:t>
      </w:r>
      <w:r w:rsidRPr="00242E6C">
        <w:rPr>
          <w:rFonts w:ascii="Times New Roman" w:hAnsi="Times New Roman"/>
          <w:bCs/>
          <w:sz w:val="24"/>
          <w:szCs w:val="24"/>
        </w:rPr>
        <w:t>Lietuvos bankas yra pritaikęs poveikio priemonę (-</w:t>
      </w:r>
      <w:proofErr w:type="spellStart"/>
      <w:r w:rsidRPr="00242E6C">
        <w:rPr>
          <w:rFonts w:ascii="Times New Roman" w:hAnsi="Times New Roman"/>
          <w:bCs/>
          <w:sz w:val="24"/>
          <w:szCs w:val="24"/>
        </w:rPr>
        <w:t>es</w:t>
      </w:r>
      <w:proofErr w:type="spellEnd"/>
      <w:r w:rsidRPr="00242E6C">
        <w:rPr>
          <w:rFonts w:ascii="Times New Roman" w:hAnsi="Times New Roman"/>
          <w:bCs/>
          <w:sz w:val="24"/>
          <w:szCs w:val="24"/>
        </w:rPr>
        <w:t>) – 3 balai;</w:t>
      </w:r>
    </w:p>
    <w:p w14:paraId="747A4A9F" w14:textId="77777777" w:rsidR="00BC1F00" w:rsidRPr="00242E6C" w:rsidRDefault="00BC1F00" w:rsidP="00BC1F00">
      <w:pPr>
        <w:numPr>
          <w:ilvl w:val="2"/>
          <w:numId w:val="1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>IDS dalyvis</w:t>
      </w:r>
      <w:r w:rsidRPr="00242E6C">
        <w:rPr>
          <w:rFonts w:ascii="Times New Roman" w:hAnsi="Times New Roman"/>
          <w:bCs/>
          <w:sz w:val="24"/>
          <w:szCs w:val="24"/>
        </w:rPr>
        <w:t xml:space="preserve"> buvo tikrintas ir jo veikloje buvo nustatyti indėlių draudimo įmokos apskaičiavimo ir mokėjimo tvarkos pažeidimai (išskyrus mažareikšmius pažeidimus) – 2 balai. Jei nustatomas pažeidimas ir mažareikšmis pažeidimas – 2 balai;</w:t>
      </w:r>
    </w:p>
    <w:p w14:paraId="128DBB96" w14:textId="77777777" w:rsidR="00BC1F00" w:rsidRPr="00242E6C" w:rsidRDefault="00BC1F00" w:rsidP="00BC1F00">
      <w:pPr>
        <w:numPr>
          <w:ilvl w:val="2"/>
          <w:numId w:val="1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>IDS dalyvis</w:t>
      </w:r>
      <w:r w:rsidRPr="00242E6C">
        <w:rPr>
          <w:rFonts w:ascii="Times New Roman" w:hAnsi="Times New Roman"/>
          <w:bCs/>
          <w:sz w:val="24"/>
          <w:szCs w:val="24"/>
        </w:rPr>
        <w:t xml:space="preserve"> buvo tikrintas ir buvo nustatyta, kad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IDS dalyvio </w:t>
      </w:r>
      <w:r w:rsidRPr="00242E6C">
        <w:rPr>
          <w:rFonts w:ascii="Times New Roman" w:hAnsi="Times New Roman"/>
          <w:bCs/>
          <w:sz w:val="24"/>
          <w:szCs w:val="24"/>
        </w:rPr>
        <w:t>IID pateikti duomenys, reikalingi indėlių draudimo išmokoms apskaičiuoti, neatitinka nustatytų reikalavimų (išskyrus mažareikšmius pažeidimus) – 2 balai. Jei nustatomas pažeidimas ir mažareikšmis pažeidimas – 2 balai;</w:t>
      </w:r>
    </w:p>
    <w:p w14:paraId="62622CDA" w14:textId="77777777" w:rsidR="00BC1F00" w:rsidRPr="00242E6C" w:rsidRDefault="00BC1F00" w:rsidP="00BC1F00">
      <w:pPr>
        <w:numPr>
          <w:ilvl w:val="2"/>
          <w:numId w:val="1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>IDS dalyvis</w:t>
      </w:r>
      <w:r w:rsidRPr="00242E6C">
        <w:rPr>
          <w:rFonts w:ascii="Times New Roman" w:hAnsi="Times New Roman"/>
          <w:bCs/>
          <w:sz w:val="24"/>
          <w:szCs w:val="24"/>
        </w:rPr>
        <w:t xml:space="preserve"> buvo tikrintas ir buvo nustatyta, kad </w:t>
      </w:r>
      <w:r w:rsidRPr="00242E6C">
        <w:rPr>
          <w:rFonts w:ascii="Times New Roman" w:hAnsi="Times New Roman"/>
          <w:bCs/>
          <w:iCs/>
          <w:sz w:val="24"/>
          <w:szCs w:val="24"/>
        </w:rPr>
        <w:t>IDS dalyvis</w:t>
      </w:r>
      <w:r w:rsidRPr="00242E6C">
        <w:rPr>
          <w:rFonts w:ascii="Times New Roman" w:hAnsi="Times New Roman"/>
          <w:bCs/>
          <w:sz w:val="24"/>
          <w:szCs w:val="24"/>
        </w:rPr>
        <w:t xml:space="preserve"> neįgyvendina arba netinkamai įgyvendina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IĮIDĮ</w:t>
      </w:r>
      <w:r w:rsidRPr="00242E6C" w:rsidDel="00DA6C3C">
        <w:rPr>
          <w:rFonts w:ascii="Times New Roman" w:hAnsi="Times New Roman"/>
          <w:bCs/>
          <w:sz w:val="24"/>
          <w:szCs w:val="24"/>
        </w:rPr>
        <w:t xml:space="preserve"> </w:t>
      </w:r>
      <w:r w:rsidRPr="00242E6C">
        <w:rPr>
          <w:rFonts w:ascii="Times New Roman" w:hAnsi="Times New Roman"/>
          <w:bCs/>
          <w:iCs/>
          <w:sz w:val="24"/>
          <w:szCs w:val="24"/>
        </w:rPr>
        <w:t>IDS dalyviui</w:t>
      </w:r>
      <w:r w:rsidRPr="00242E6C">
        <w:rPr>
          <w:rFonts w:ascii="Times New Roman" w:hAnsi="Times New Roman"/>
          <w:bCs/>
          <w:sz w:val="24"/>
          <w:szCs w:val="24"/>
        </w:rPr>
        <w:t xml:space="preserve"> nustatytą informavimo apie indėlių draudimą pareigą (išskyrus mažareikšmius pažeidimus) – 2 balai. Jei nustatomas pažeidimas ir mažareikšmis pažeidimas – 2 balai;</w:t>
      </w:r>
    </w:p>
    <w:p w14:paraId="6B5F8C59" w14:textId="77777777" w:rsidR="00BC1F00" w:rsidRPr="00242E6C" w:rsidRDefault="00BC1F00" w:rsidP="00BC1F00">
      <w:pPr>
        <w:numPr>
          <w:ilvl w:val="2"/>
          <w:numId w:val="1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</w:rPr>
        <w:t xml:space="preserve">IDS dalyvis buvo tikrintas ir jo atitinkamoje veiklos srityje (nurodyta šių Nuostatų 8.2.3 papunktyje arba 8.2.4 </w:t>
      </w:r>
      <w:r w:rsidRPr="0076798B">
        <w:rPr>
          <w:rFonts w:ascii="Times New Roman" w:hAnsi="Times New Roman"/>
          <w:sz w:val="24"/>
          <w:szCs w:val="24"/>
        </w:rPr>
        <w:t>papunktyje arba 8.</w:t>
      </w:r>
      <w:r w:rsidRPr="00242E6C">
        <w:rPr>
          <w:rFonts w:ascii="Times New Roman" w:hAnsi="Times New Roman"/>
          <w:sz w:val="24"/>
          <w:szCs w:val="24"/>
        </w:rPr>
        <w:t>2.5 papunktyje) buvo nustatyti tik mažareikšmiai pažeidimai – 1 balas.</w:t>
      </w:r>
    </w:p>
    <w:p w14:paraId="4B98146A" w14:textId="77777777" w:rsidR="00BC1F00" w:rsidRPr="00242E6C" w:rsidRDefault="00BC1F00" w:rsidP="00BC1F00">
      <w:pPr>
        <w:numPr>
          <w:ilvl w:val="2"/>
          <w:numId w:val="1"/>
        </w:numPr>
        <w:tabs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>IDS dalyvis</w:t>
      </w:r>
      <w:r w:rsidRPr="00242E6C">
        <w:rPr>
          <w:rFonts w:ascii="Times New Roman" w:hAnsi="Times New Roman"/>
          <w:bCs/>
          <w:sz w:val="24"/>
          <w:szCs w:val="24"/>
        </w:rPr>
        <w:t xml:space="preserve"> buvo tikrintas ir jo veikloje pažeidimų nenustatyta ir Lietuvos bankas </w:t>
      </w:r>
      <w:r w:rsidRPr="00242E6C">
        <w:rPr>
          <w:rFonts w:ascii="Times New Roman" w:hAnsi="Times New Roman"/>
          <w:bCs/>
          <w:iCs/>
          <w:sz w:val="24"/>
          <w:szCs w:val="24"/>
        </w:rPr>
        <w:t>IDS dalyviui</w:t>
      </w:r>
      <w:r w:rsidRPr="00242E6C">
        <w:rPr>
          <w:rFonts w:ascii="Times New Roman" w:hAnsi="Times New Roman"/>
          <w:bCs/>
          <w:sz w:val="24"/>
          <w:szCs w:val="24"/>
        </w:rPr>
        <w:t xml:space="preserve"> nėra pritaikęs jokios poveikio priemonės – 0 balo. </w:t>
      </w:r>
    </w:p>
    <w:p w14:paraId="2453F782" w14:textId="77777777" w:rsidR="00BC1F00" w:rsidRPr="00242E6C" w:rsidRDefault="00BC1F00" w:rsidP="00BC1F0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44AF744" w14:textId="77777777" w:rsidR="00BC1F00" w:rsidRPr="00242E6C" w:rsidRDefault="00BC1F00" w:rsidP="00BC1F0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2E6C">
        <w:rPr>
          <w:rFonts w:ascii="Times New Roman" w:hAnsi="Times New Roman"/>
          <w:b/>
          <w:bCs/>
          <w:iCs/>
          <w:sz w:val="24"/>
          <w:szCs w:val="24"/>
        </w:rPr>
        <w:t>ĮIDS dalyvio (banko, f</w:t>
      </w:r>
      <w:r w:rsidRPr="00242E6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inansų maklerio įmonės, valdymo įmonės ir (ar) centrinės kredito unijos) </w:t>
      </w:r>
      <w:r w:rsidRPr="00242E6C">
        <w:rPr>
          <w:rFonts w:ascii="Times New Roman" w:hAnsi="Times New Roman"/>
          <w:b/>
          <w:bCs/>
          <w:sz w:val="24"/>
          <w:szCs w:val="24"/>
        </w:rPr>
        <w:t>patikrinimo kategorijos</w:t>
      </w:r>
      <w:r w:rsidRPr="00242E6C">
        <w:rPr>
          <w:rFonts w:ascii="Times New Roman" w:hAnsi="Times New Roman"/>
          <w:b/>
          <w:sz w:val="24"/>
          <w:szCs w:val="24"/>
        </w:rPr>
        <w:t xml:space="preserve"> lygio nustatymas</w:t>
      </w:r>
    </w:p>
    <w:p w14:paraId="0AFCB8A8" w14:textId="77777777" w:rsidR="00BC1F00" w:rsidRPr="00242E6C" w:rsidRDefault="00BC1F00" w:rsidP="00BC1F0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C44CD6A" w14:textId="77777777" w:rsidR="00BC1F00" w:rsidRPr="00242E6C" w:rsidRDefault="00BC1F00" w:rsidP="00BC1F0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>ĮIDS dalyvio</w:t>
      </w:r>
      <w:r w:rsidRPr="00242E6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42E6C">
        <w:rPr>
          <w:rFonts w:ascii="Times New Roman" w:hAnsi="Times New Roman"/>
          <w:b/>
          <w:bCs/>
          <w:sz w:val="24"/>
          <w:szCs w:val="24"/>
        </w:rPr>
        <w:t>(PK)</w:t>
      </w:r>
      <w:r w:rsidRPr="00242E6C">
        <w:rPr>
          <w:rFonts w:ascii="Times New Roman" w:hAnsi="Times New Roman"/>
          <w:bCs/>
          <w:sz w:val="24"/>
          <w:szCs w:val="24"/>
        </w:rPr>
        <w:t>:</w:t>
      </w:r>
      <w:r w:rsidRPr="00242E6C">
        <w:rPr>
          <w:rFonts w:ascii="Times New Roman" w:hAnsi="Times New Roman"/>
          <w:sz w:val="20"/>
        </w:rPr>
        <w:t xml:space="preserve"> </w:t>
      </w:r>
    </w:p>
    <w:p w14:paraId="168920D2" w14:textId="77777777" w:rsidR="00BC1F00" w:rsidRPr="00242E6C" w:rsidRDefault="00BC1F00" w:rsidP="00BC1F0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/>
          <w:bCs/>
          <w:sz w:val="24"/>
          <w:szCs w:val="24"/>
        </w:rPr>
        <w:lastRenderedPageBreak/>
        <w:t>(M)</w:t>
      </w:r>
      <w:r w:rsidRPr="00242E6C">
        <w:rPr>
          <w:rFonts w:ascii="Times New Roman" w:hAnsi="Times New Roman"/>
          <w:bCs/>
          <w:sz w:val="24"/>
          <w:szCs w:val="24"/>
        </w:rPr>
        <w:t xml:space="preserve"> priklauso nuo teisės </w:t>
      </w:r>
      <w:r w:rsidRPr="00242E6C">
        <w:rPr>
          <w:rFonts w:ascii="Times New Roman" w:hAnsi="Times New Roman"/>
          <w:sz w:val="24"/>
          <w:szCs w:val="24"/>
        </w:rPr>
        <w:t xml:space="preserve">saugoti klientams </w:t>
      </w:r>
      <w:r w:rsidRPr="00242E6C">
        <w:rPr>
          <w:rFonts w:ascii="Times New Roman" w:hAnsi="Times New Roman"/>
          <w:color w:val="000000"/>
          <w:sz w:val="24"/>
          <w:szCs w:val="24"/>
        </w:rPr>
        <w:t>priklausančias finansines priemones ir (arba) pinigines lėšas</w:t>
      </w:r>
      <w:r w:rsidRPr="00242E6C">
        <w:rPr>
          <w:rFonts w:ascii="Times New Roman" w:hAnsi="Times New Roman"/>
          <w:bCs/>
          <w:sz w:val="24"/>
          <w:szCs w:val="24"/>
        </w:rPr>
        <w:t xml:space="preserve"> turėjimo/neturėjimo ir pavedimų, vykdomų klientų sąskaita, sumos. Visi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dalyviai </w:t>
      </w:r>
      <w:r w:rsidRPr="00242E6C">
        <w:rPr>
          <w:rFonts w:ascii="Times New Roman" w:hAnsi="Times New Roman"/>
          <w:bCs/>
          <w:sz w:val="24"/>
          <w:szCs w:val="24"/>
        </w:rPr>
        <w:t xml:space="preserve">pagal šį kriterijų ir jo reikšmes suskirstomos į penkias masto grupes, o tam tikrai masto grupei suteikiamas atitinkamas </w:t>
      </w:r>
      <w:r w:rsidRPr="00242E6C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242E6C">
        <w:rPr>
          <w:rFonts w:ascii="Times New Roman" w:hAnsi="Times New Roman"/>
          <w:b/>
          <w:bCs/>
          <w:sz w:val="24"/>
          <w:szCs w:val="24"/>
        </w:rPr>
        <w:t>M</w:t>
      </w:r>
      <w:r w:rsidRPr="00242E6C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proofErr w:type="spellEnd"/>
      <w:r w:rsidRPr="00242E6C">
        <w:rPr>
          <w:rFonts w:ascii="Times New Roman" w:hAnsi="Times New Roman"/>
          <w:b/>
          <w:bCs/>
          <w:sz w:val="24"/>
          <w:szCs w:val="24"/>
        </w:rPr>
        <w:t>)</w:t>
      </w:r>
      <w:r w:rsidRPr="00242E6C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7704"/>
        <w:gridCol w:w="708"/>
      </w:tblGrid>
      <w:tr w:rsidR="00BC1F00" w:rsidRPr="00242E6C" w14:paraId="52492841" w14:textId="77777777" w:rsidTr="00BC1F00">
        <w:trPr>
          <w:trHeight w:val="748"/>
          <w:jc w:val="center"/>
        </w:trPr>
        <w:tc>
          <w:tcPr>
            <w:tcW w:w="1222" w:type="dxa"/>
            <w:shd w:val="clear" w:color="auto" w:fill="auto"/>
            <w:noWrap/>
            <w:vAlign w:val="center"/>
          </w:tcPr>
          <w:p w14:paraId="25BCCC71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Masto grupė</w:t>
            </w:r>
          </w:p>
        </w:tc>
        <w:tc>
          <w:tcPr>
            <w:tcW w:w="7704" w:type="dxa"/>
            <w:vAlign w:val="center"/>
          </w:tcPr>
          <w:p w14:paraId="56FBCEB6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left="-4" w:firstLine="57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(M)</w:t>
            </w:r>
          </w:p>
        </w:tc>
        <w:tc>
          <w:tcPr>
            <w:tcW w:w="708" w:type="dxa"/>
            <w:vAlign w:val="center"/>
          </w:tcPr>
          <w:p w14:paraId="1535F6C9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</w:t>
            </w:r>
            <w:proofErr w:type="spellStart"/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M</w:t>
            </w:r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lt-LT"/>
              </w:rPr>
              <w:t>k</w:t>
            </w:r>
            <w:proofErr w:type="spellEnd"/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)</w:t>
            </w:r>
          </w:p>
        </w:tc>
      </w:tr>
      <w:tr w:rsidR="00BC1F00" w:rsidRPr="00242E6C" w14:paraId="1EDB74CB" w14:textId="77777777" w:rsidTr="00BC1F00">
        <w:trPr>
          <w:trHeight w:val="53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5B9A1808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grupė</w:t>
            </w:r>
          </w:p>
        </w:tc>
        <w:tc>
          <w:tcPr>
            <w:tcW w:w="7704" w:type="dxa"/>
            <w:vAlign w:val="center"/>
          </w:tcPr>
          <w:p w14:paraId="4198E39E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ui suteikta teisė saugoti</w:t>
            </w:r>
            <w:r w:rsidRPr="00242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E6C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Pr="00242E6C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lėšas ir įmonė vykdo pavedimus klientų sąskaita, kai per praėjusius kalendorinius metus klientų sąskaita įvykdytų pavedimų bendra vertė yra didesnė nei 100 000 Eur </w:t>
            </w:r>
          </w:p>
        </w:tc>
        <w:tc>
          <w:tcPr>
            <w:tcW w:w="708" w:type="dxa"/>
            <w:vAlign w:val="center"/>
          </w:tcPr>
          <w:p w14:paraId="2160EFC7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</w:t>
            </w:r>
          </w:p>
        </w:tc>
      </w:tr>
      <w:tr w:rsidR="00BC1F00" w:rsidRPr="00242E6C" w14:paraId="3439AE89" w14:textId="77777777" w:rsidTr="00BC1F00">
        <w:trPr>
          <w:trHeight w:val="53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641C5EDE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grupė</w:t>
            </w:r>
          </w:p>
        </w:tc>
        <w:tc>
          <w:tcPr>
            <w:tcW w:w="7704" w:type="dxa"/>
            <w:vAlign w:val="center"/>
          </w:tcPr>
          <w:p w14:paraId="2F7063A9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ui suteikta teisė saugoti </w:t>
            </w:r>
            <w:r w:rsidRPr="00242E6C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Pr="00242E6C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lėšas ir </w:t>
            </w:r>
            <w:r w:rsidRPr="00242E6C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dalyvis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</w:t>
            </w:r>
            <w:r w:rsidRPr="00242E6C">
              <w:rPr>
                <w:rFonts w:ascii="Times New Roman" w:hAnsi="Times New Roman"/>
                <w:sz w:val="18"/>
                <w:szCs w:val="18"/>
              </w:rPr>
              <w:t>vykdo pavedimus klientų sąskaita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, kai per praėjusius kalendorinius metus klientų sąskaita įvykdytų pavedimų bendra vertė yra didesnė nei 22 000 Eur, bet ne didesnė arba lygi 100 000 Eur</w:t>
            </w:r>
          </w:p>
        </w:tc>
        <w:tc>
          <w:tcPr>
            <w:tcW w:w="708" w:type="dxa"/>
            <w:vAlign w:val="center"/>
          </w:tcPr>
          <w:p w14:paraId="05AC0B49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8</w:t>
            </w:r>
          </w:p>
        </w:tc>
      </w:tr>
      <w:tr w:rsidR="00BC1F00" w:rsidRPr="00242E6C" w14:paraId="381888B5" w14:textId="77777777" w:rsidTr="00BC1F00">
        <w:trPr>
          <w:trHeight w:val="169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3E98E65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grupė</w:t>
            </w:r>
          </w:p>
        </w:tc>
        <w:tc>
          <w:tcPr>
            <w:tcW w:w="7704" w:type="dxa"/>
            <w:vAlign w:val="center"/>
          </w:tcPr>
          <w:p w14:paraId="52087D40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ui suteikta teisė saugoti </w:t>
            </w:r>
            <w:r w:rsidRPr="00242E6C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Pr="00242E6C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lėšas ir </w:t>
            </w:r>
            <w:r w:rsidRPr="00242E6C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dalyvis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</w:t>
            </w:r>
            <w:r w:rsidRPr="00242E6C">
              <w:rPr>
                <w:rFonts w:ascii="Times New Roman" w:hAnsi="Times New Roman"/>
                <w:sz w:val="18"/>
                <w:szCs w:val="18"/>
              </w:rPr>
              <w:t>vykdo pavedimus klientų sąskaita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, kai per praėjusius kalendorinius metus klientų sąskaita įvykdytų pavedimų bendra vertė yra lygi ar mažesnė 22 000 Eur</w:t>
            </w:r>
          </w:p>
        </w:tc>
        <w:tc>
          <w:tcPr>
            <w:tcW w:w="708" w:type="dxa"/>
            <w:vAlign w:val="center"/>
          </w:tcPr>
          <w:p w14:paraId="2AB9E1CF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</w:t>
            </w:r>
          </w:p>
        </w:tc>
      </w:tr>
      <w:tr w:rsidR="00BC1F00" w:rsidRPr="00242E6C" w14:paraId="1B5AABAA" w14:textId="77777777" w:rsidTr="00BC1F00">
        <w:trPr>
          <w:trHeight w:val="187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20415EAC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grupė</w:t>
            </w:r>
          </w:p>
        </w:tc>
        <w:tc>
          <w:tcPr>
            <w:tcW w:w="7704" w:type="dxa"/>
            <w:vAlign w:val="center"/>
          </w:tcPr>
          <w:p w14:paraId="06D9BAF0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ui suteikta teisė saugoti </w:t>
            </w:r>
            <w:r w:rsidRPr="00242E6C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Pr="00242E6C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lėšas, tačiau </w:t>
            </w:r>
            <w:r w:rsidRPr="00242E6C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dalyvis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per praėjusius kalendorinius metus faktiškai ne</w:t>
            </w:r>
            <w:r w:rsidRPr="00242E6C">
              <w:rPr>
                <w:rFonts w:ascii="Times New Roman" w:hAnsi="Times New Roman"/>
                <w:sz w:val="18"/>
                <w:szCs w:val="18"/>
              </w:rPr>
              <w:t>vykdė pavedimų klientų sąskaita</w:t>
            </w:r>
          </w:p>
        </w:tc>
        <w:tc>
          <w:tcPr>
            <w:tcW w:w="708" w:type="dxa"/>
            <w:vAlign w:val="center"/>
          </w:tcPr>
          <w:p w14:paraId="69E5437B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</w:t>
            </w:r>
          </w:p>
        </w:tc>
      </w:tr>
      <w:tr w:rsidR="00BC1F00" w:rsidRPr="00242E6C" w14:paraId="6107CA60" w14:textId="77777777" w:rsidTr="00BC1F00">
        <w:trPr>
          <w:trHeight w:val="97"/>
          <w:jc w:val="center"/>
        </w:trPr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0785468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 grupė</w:t>
            </w:r>
          </w:p>
        </w:tc>
        <w:tc>
          <w:tcPr>
            <w:tcW w:w="7704" w:type="dxa"/>
            <w:vAlign w:val="center"/>
          </w:tcPr>
          <w:p w14:paraId="234ABD60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hAnsi="Times New Roman"/>
                <w:bCs/>
                <w:iCs/>
                <w:sz w:val="18"/>
                <w:szCs w:val="18"/>
              </w:rPr>
              <w:t>ĮIDS dalyvi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ui neturi teisės saugoti </w:t>
            </w:r>
            <w:r w:rsidRPr="00242E6C">
              <w:rPr>
                <w:rFonts w:ascii="Times New Roman" w:hAnsi="Times New Roman"/>
                <w:sz w:val="18"/>
                <w:szCs w:val="18"/>
              </w:rPr>
              <w:t xml:space="preserve">klientams </w:t>
            </w:r>
            <w:r w:rsidRPr="00242E6C">
              <w:rPr>
                <w:rFonts w:ascii="Times New Roman" w:hAnsi="Times New Roman"/>
                <w:color w:val="000000"/>
                <w:sz w:val="18"/>
                <w:szCs w:val="18"/>
              </w:rPr>
              <w:t>priklausančias finansines priemones ir (arba) pinigines</w:t>
            </w: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 xml:space="preserve"> lėšas</w:t>
            </w:r>
          </w:p>
        </w:tc>
        <w:tc>
          <w:tcPr>
            <w:tcW w:w="708" w:type="dxa"/>
            <w:vAlign w:val="center"/>
          </w:tcPr>
          <w:p w14:paraId="054FCA12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</w:t>
            </w:r>
          </w:p>
        </w:tc>
      </w:tr>
    </w:tbl>
    <w:p w14:paraId="02EB9F0E" w14:textId="77777777" w:rsidR="00BC1F00" w:rsidRPr="00242E6C" w:rsidRDefault="00BC1F00" w:rsidP="00BC1F00">
      <w:pPr>
        <w:numPr>
          <w:ilvl w:val="1"/>
          <w:numId w:val="1"/>
        </w:numPr>
        <w:tabs>
          <w:tab w:val="left" w:pos="56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(T) </w:t>
      </w:r>
      <w:r w:rsidRPr="00242E6C">
        <w:rPr>
          <w:rFonts w:ascii="Times New Roman" w:hAnsi="Times New Roman"/>
          <w:sz w:val="24"/>
          <w:szCs w:val="24"/>
        </w:rPr>
        <w:t xml:space="preserve">– tikimybė, kad </w:t>
      </w:r>
      <w:r w:rsidRPr="00242E6C">
        <w:rPr>
          <w:rFonts w:ascii="Times New Roman" w:hAnsi="Times New Roman"/>
          <w:bCs/>
          <w:iCs/>
          <w:sz w:val="24"/>
          <w:szCs w:val="24"/>
        </w:rPr>
        <w:t>ĮIDS dalyvis</w:t>
      </w:r>
      <w:r w:rsidRPr="00242E6C">
        <w:rPr>
          <w:rFonts w:ascii="Times New Roman" w:hAnsi="Times New Roman"/>
          <w:sz w:val="24"/>
          <w:szCs w:val="24"/>
        </w:rPr>
        <w:t xml:space="preserve"> nesilaiko įsipareigojimų investuotojams draudimo tvarkos, nustatytos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IĮIDĮ</w:t>
      </w:r>
      <w:r w:rsidRPr="00242E6C" w:rsidDel="00DA6C3C">
        <w:rPr>
          <w:rFonts w:ascii="Times New Roman" w:hAnsi="Times New Roman"/>
          <w:sz w:val="24"/>
          <w:szCs w:val="24"/>
        </w:rPr>
        <w:t xml:space="preserve"> </w:t>
      </w:r>
      <w:r w:rsidRPr="00242E6C">
        <w:rPr>
          <w:rFonts w:ascii="Times New Roman" w:hAnsi="Times New Roman"/>
          <w:sz w:val="24"/>
          <w:szCs w:val="24"/>
        </w:rPr>
        <w:t xml:space="preserve">ir jo įgyvendinamųjų teisės aktų nustatytuose reikalavimuose.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Visi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dalyviai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pagal šį kriterijų ir jo reikšmes suskirstomos į šešias tikimybės grupes, o tam tikrai tikimybės grupei suteikiamas atitinkamas </w:t>
      </w:r>
      <w:r w:rsidRPr="00242E6C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242E6C">
        <w:rPr>
          <w:rFonts w:ascii="Times New Roman" w:hAnsi="Times New Roman"/>
          <w:b/>
          <w:bCs/>
          <w:sz w:val="24"/>
          <w:szCs w:val="24"/>
        </w:rPr>
        <w:t>T</w:t>
      </w:r>
      <w:r w:rsidRPr="00242E6C">
        <w:rPr>
          <w:rFonts w:ascii="Times New Roman" w:hAnsi="Times New Roman"/>
          <w:b/>
          <w:bCs/>
          <w:sz w:val="24"/>
          <w:szCs w:val="24"/>
          <w:vertAlign w:val="subscript"/>
        </w:rPr>
        <w:t>k</w:t>
      </w:r>
      <w:proofErr w:type="spellEnd"/>
      <w:r w:rsidRPr="00242E6C">
        <w:rPr>
          <w:rFonts w:ascii="Times New Roman" w:hAnsi="Times New Roman"/>
          <w:b/>
          <w:bCs/>
          <w:sz w:val="24"/>
          <w:szCs w:val="24"/>
        </w:rPr>
        <w:t>)</w:t>
      </w:r>
      <w:r w:rsidRPr="00242E6C">
        <w:rPr>
          <w:rFonts w:ascii="Times New Roman" w:hAnsi="Times New Roman"/>
          <w:bCs/>
          <w:sz w:val="24"/>
          <w:szCs w:val="24"/>
        </w:rPr>
        <w:t xml:space="preserve"> (10.1.1 – 10.1.7 punktuose nurodyti balai susumuojami)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tbl>
      <w:tblPr>
        <w:tblW w:w="589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1359"/>
      </w:tblGrid>
      <w:tr w:rsidR="00BC1F00" w:rsidRPr="00242E6C" w14:paraId="098C9C76" w14:textId="77777777" w:rsidTr="00957351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419389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Tikimybės grupės</w:t>
            </w:r>
          </w:p>
        </w:tc>
        <w:tc>
          <w:tcPr>
            <w:tcW w:w="1843" w:type="dxa"/>
            <w:shd w:val="clear" w:color="auto" w:fill="auto"/>
          </w:tcPr>
          <w:p w14:paraId="02C5B223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b/>
                <w:sz w:val="18"/>
                <w:szCs w:val="18"/>
                <w:lang w:eastAsia="lt-LT"/>
              </w:rPr>
              <w:t>(T)</w:t>
            </w:r>
          </w:p>
        </w:tc>
        <w:tc>
          <w:tcPr>
            <w:tcW w:w="1359" w:type="dxa"/>
          </w:tcPr>
          <w:p w14:paraId="754F9824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242E6C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242E6C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</w:rPr>
              <w:t>k</w:t>
            </w:r>
            <w:proofErr w:type="spellEnd"/>
            <w:r w:rsidRPr="00242E6C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BC1F00" w:rsidRPr="00242E6C" w14:paraId="3B55AB9D" w14:textId="77777777" w:rsidTr="00957351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</w:tcPr>
          <w:p w14:paraId="725B1D53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grupė</w:t>
            </w:r>
          </w:p>
        </w:tc>
        <w:tc>
          <w:tcPr>
            <w:tcW w:w="1843" w:type="dxa"/>
            <w:shd w:val="clear" w:color="auto" w:fill="auto"/>
          </w:tcPr>
          <w:p w14:paraId="2C80FDC7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≥ 5 balai</w:t>
            </w:r>
          </w:p>
        </w:tc>
        <w:tc>
          <w:tcPr>
            <w:tcW w:w="1359" w:type="dxa"/>
          </w:tcPr>
          <w:p w14:paraId="6B94823F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20</w:t>
            </w:r>
          </w:p>
        </w:tc>
      </w:tr>
      <w:tr w:rsidR="00BC1F00" w:rsidRPr="00242E6C" w14:paraId="5479C176" w14:textId="77777777" w:rsidTr="00957351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A58245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grupė</w:t>
            </w:r>
          </w:p>
        </w:tc>
        <w:tc>
          <w:tcPr>
            <w:tcW w:w="1843" w:type="dxa"/>
            <w:shd w:val="clear" w:color="auto" w:fill="auto"/>
          </w:tcPr>
          <w:p w14:paraId="488381E9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balas</w:t>
            </w:r>
          </w:p>
        </w:tc>
        <w:tc>
          <w:tcPr>
            <w:tcW w:w="1359" w:type="dxa"/>
          </w:tcPr>
          <w:p w14:paraId="781B903F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15</w:t>
            </w:r>
          </w:p>
        </w:tc>
      </w:tr>
      <w:tr w:rsidR="00BC1F00" w:rsidRPr="00242E6C" w14:paraId="0BEF6853" w14:textId="77777777" w:rsidTr="00957351">
        <w:trPr>
          <w:trHeight w:val="16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FFC061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grupė</w:t>
            </w:r>
          </w:p>
        </w:tc>
        <w:tc>
          <w:tcPr>
            <w:tcW w:w="1843" w:type="dxa"/>
            <w:shd w:val="clear" w:color="auto" w:fill="auto"/>
          </w:tcPr>
          <w:p w14:paraId="37843463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3 balai</w:t>
            </w:r>
          </w:p>
        </w:tc>
        <w:tc>
          <w:tcPr>
            <w:tcW w:w="1359" w:type="dxa"/>
          </w:tcPr>
          <w:p w14:paraId="65DA8A10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10</w:t>
            </w:r>
          </w:p>
        </w:tc>
      </w:tr>
      <w:tr w:rsidR="00BC1F00" w:rsidRPr="00242E6C" w14:paraId="2D5DD89F" w14:textId="77777777" w:rsidTr="00957351">
        <w:trPr>
          <w:trHeight w:val="18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81E9D4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4 grupė</w:t>
            </w:r>
          </w:p>
        </w:tc>
        <w:tc>
          <w:tcPr>
            <w:tcW w:w="1843" w:type="dxa"/>
            <w:shd w:val="clear" w:color="auto" w:fill="auto"/>
          </w:tcPr>
          <w:p w14:paraId="64F45443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2 balai</w:t>
            </w:r>
          </w:p>
        </w:tc>
        <w:tc>
          <w:tcPr>
            <w:tcW w:w="1359" w:type="dxa"/>
          </w:tcPr>
          <w:p w14:paraId="0C517E10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</w:t>
            </w:r>
          </w:p>
        </w:tc>
      </w:tr>
      <w:tr w:rsidR="00BC1F00" w:rsidRPr="00242E6C" w14:paraId="1F238059" w14:textId="77777777" w:rsidTr="00957351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4C1712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5 grupė</w:t>
            </w:r>
          </w:p>
        </w:tc>
        <w:tc>
          <w:tcPr>
            <w:tcW w:w="1843" w:type="dxa"/>
            <w:shd w:val="clear" w:color="auto" w:fill="auto"/>
          </w:tcPr>
          <w:p w14:paraId="761DAFB4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 balai</w:t>
            </w:r>
          </w:p>
        </w:tc>
        <w:tc>
          <w:tcPr>
            <w:tcW w:w="1359" w:type="dxa"/>
          </w:tcPr>
          <w:p w14:paraId="6BEA85FF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1</w:t>
            </w:r>
          </w:p>
        </w:tc>
      </w:tr>
      <w:tr w:rsidR="00BC1F00" w:rsidRPr="00242E6C" w14:paraId="52D5E59A" w14:textId="77777777" w:rsidTr="00957351">
        <w:trPr>
          <w:trHeight w:val="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FFA1C9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6 grupė</w:t>
            </w:r>
          </w:p>
        </w:tc>
        <w:tc>
          <w:tcPr>
            <w:tcW w:w="1843" w:type="dxa"/>
            <w:shd w:val="clear" w:color="auto" w:fill="auto"/>
          </w:tcPr>
          <w:p w14:paraId="7CEE727C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 balų</w:t>
            </w:r>
          </w:p>
        </w:tc>
        <w:tc>
          <w:tcPr>
            <w:tcW w:w="1359" w:type="dxa"/>
          </w:tcPr>
          <w:p w14:paraId="62AAF069" w14:textId="77777777" w:rsidR="00BC1F00" w:rsidRPr="00242E6C" w:rsidRDefault="00BC1F00" w:rsidP="0095735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242E6C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0</w:t>
            </w:r>
          </w:p>
        </w:tc>
      </w:tr>
    </w:tbl>
    <w:p w14:paraId="72D62FA4" w14:textId="77777777" w:rsidR="00BC1F00" w:rsidRPr="00242E6C" w:rsidRDefault="00BC1F00" w:rsidP="00BC1F00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jeigu IID anksčiau nėra tikrinusi </w:t>
      </w:r>
      <w:r w:rsidRPr="00242E6C">
        <w:rPr>
          <w:rFonts w:ascii="Times New Roman" w:hAnsi="Times New Roman"/>
          <w:bCs/>
          <w:iCs/>
          <w:sz w:val="24"/>
          <w:szCs w:val="24"/>
        </w:rPr>
        <w:t>ĮIDS dalyvio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 arba po paskutinio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draudimo išmokų duomenų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patikrinimo praėjo daugiau kaip 2 metai – 5 balai;</w:t>
      </w:r>
    </w:p>
    <w:p w14:paraId="1DEE9998" w14:textId="77777777" w:rsidR="00BC1F00" w:rsidRPr="00242E6C" w:rsidRDefault="00BC1F00" w:rsidP="00BC1F00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dalyviui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Lietuvos bankas yra pritaikęs poveikio priemones – 3 balai;</w:t>
      </w:r>
    </w:p>
    <w:p w14:paraId="65872F2A" w14:textId="77777777" w:rsidR="00BC1F00" w:rsidRPr="00242E6C" w:rsidRDefault="00BC1F00" w:rsidP="00BC1F0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dalyvis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buvo tikrintas ir jo veikloje buvo nustatyti įsipareigojimų investuotojams draudimo įmokos apskaičiavimo ir mokėjimo tvarkos pažeidimai (išskyrus mažareikšmius pažeidimus) – 2 balai. Jei nustatomas pažeidimas ir mažareikšmis pažeidimas – 2 balai;</w:t>
      </w:r>
    </w:p>
    <w:p w14:paraId="0E293B06" w14:textId="77777777" w:rsidR="00BC1F00" w:rsidRPr="00242E6C" w:rsidRDefault="00BC1F00" w:rsidP="00BC1F00">
      <w:pPr>
        <w:numPr>
          <w:ilvl w:val="2"/>
          <w:numId w:val="1"/>
        </w:numPr>
        <w:tabs>
          <w:tab w:val="left" w:pos="1134"/>
          <w:tab w:val="left" w:pos="1276"/>
          <w:tab w:val="left" w:pos="48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>ĮIDS dalyvis</w:t>
      </w:r>
      <w:r w:rsidRPr="00242E6C">
        <w:rPr>
          <w:rFonts w:ascii="Times New Roman" w:hAnsi="Times New Roman"/>
          <w:bCs/>
          <w:sz w:val="24"/>
          <w:szCs w:val="24"/>
        </w:rPr>
        <w:t xml:space="preserve"> buvo tikrintas ir buvo nustatyta, kad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dalyvio </w:t>
      </w:r>
      <w:r w:rsidRPr="00242E6C">
        <w:rPr>
          <w:rFonts w:ascii="Times New Roman" w:hAnsi="Times New Roman"/>
          <w:bCs/>
          <w:sz w:val="24"/>
          <w:szCs w:val="24"/>
        </w:rPr>
        <w:t xml:space="preserve">IID pateikti duomenys, reikalingi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įsipareigojimų investuotojais</w:t>
      </w:r>
      <w:r w:rsidRPr="00242E6C">
        <w:rPr>
          <w:rFonts w:ascii="Times New Roman" w:hAnsi="Times New Roman"/>
          <w:bCs/>
          <w:sz w:val="24"/>
          <w:szCs w:val="24"/>
        </w:rPr>
        <w:t xml:space="preserve"> draudimo išmokoms apskaičiuoti, neatitinka nustatytų reikalavimų (išskyrus mažareikšmius pažeidimus) – 2 balai. Jei nustatomas pažeidimas ir mažareikšmis pažeidimas – 2 balai;</w:t>
      </w:r>
    </w:p>
    <w:p w14:paraId="5ECA03B5" w14:textId="77777777" w:rsidR="00BC1F00" w:rsidRPr="00242E6C" w:rsidRDefault="00BC1F00" w:rsidP="00BC1F0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dalyvis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buvo tikrintas ir buvo nustatyta, kad </w:t>
      </w:r>
      <w:r w:rsidRPr="00242E6C">
        <w:rPr>
          <w:rFonts w:ascii="Times New Roman" w:hAnsi="Times New Roman"/>
          <w:bCs/>
          <w:iCs/>
          <w:sz w:val="24"/>
          <w:szCs w:val="24"/>
        </w:rPr>
        <w:t>ĮIDS dalyvis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 neįgyvendina arba netinkamai įgyvendina IĮIDĮ</w:t>
      </w:r>
      <w:r w:rsidRPr="00242E6C" w:rsidDel="00DA6C3C">
        <w:rPr>
          <w:rFonts w:ascii="Times New Roman" w:hAnsi="Times New Roman"/>
          <w:sz w:val="24"/>
          <w:szCs w:val="24"/>
        </w:rPr>
        <w:t xml:space="preserve">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dalyviui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nustatytą informavimo apie įsipareigojimų investuotojams draudimą pareigą (išskyrus mažareikšmius pažeidimus) – 2 balai. Jei nustatomas pažeidimas ir mažareikšmis pažeidimas – 2 balai;</w:t>
      </w:r>
    </w:p>
    <w:p w14:paraId="06FD2F3E" w14:textId="77777777" w:rsidR="00BC1F00" w:rsidRPr="00242E6C" w:rsidRDefault="00BC1F00" w:rsidP="00BC1F0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dalyvis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buvo tikrintas ir jo </w:t>
      </w:r>
      <w:r w:rsidRPr="00242E6C">
        <w:rPr>
          <w:rFonts w:ascii="Times New Roman" w:hAnsi="Times New Roman"/>
          <w:bCs/>
          <w:sz w:val="24"/>
          <w:szCs w:val="24"/>
        </w:rPr>
        <w:t xml:space="preserve">atitinkamoje veiklos srityje (nurodyta šių Nuostatų 10.1.3 papunktyje arba 10.1.4 papunktyje arba 10.1.5 papunktyje)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>buvo nustatyti mažareikšmiai pažeidimai – 1 balas;</w:t>
      </w:r>
    </w:p>
    <w:p w14:paraId="3A0A13FF" w14:textId="77777777" w:rsidR="00BC1F00" w:rsidRPr="00242E6C" w:rsidRDefault="00BC1F00" w:rsidP="00BC1F0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dalyvis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buvo tikrintas ir jo veikloje pažeidimų nenustatyta ir Lietuvos bankas </w:t>
      </w:r>
      <w:r w:rsidRPr="00242E6C">
        <w:rPr>
          <w:rFonts w:ascii="Times New Roman" w:hAnsi="Times New Roman"/>
          <w:bCs/>
          <w:iCs/>
          <w:sz w:val="24"/>
          <w:szCs w:val="24"/>
        </w:rPr>
        <w:t>ĮIDS dalyviui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 nėra pritaikęs jokios poveikio priemonės – 0 balų.</w:t>
      </w:r>
    </w:p>
    <w:p w14:paraId="2FADF980" w14:textId="77777777" w:rsidR="00BC1F00" w:rsidRPr="00242E6C" w:rsidRDefault="00BC1F00" w:rsidP="00BC1F0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2E6C">
        <w:rPr>
          <w:rFonts w:ascii="Times New Roman" w:hAnsi="Times New Roman"/>
          <w:bCs/>
          <w:sz w:val="24"/>
          <w:szCs w:val="24"/>
        </w:rPr>
        <w:t>Po patikrinimo kategorijos lygio įvertinimo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indėlių draudimo sistemoje ir įsipareigojimų investuotojams draudimo sistemoje, </w:t>
      </w:r>
      <w:r w:rsidRPr="00242E6C">
        <w:rPr>
          <w:rFonts w:ascii="Times New Roman" w:hAnsi="Times New Roman"/>
          <w:bCs/>
          <w:sz w:val="24"/>
          <w:szCs w:val="24"/>
        </w:rPr>
        <w:t xml:space="preserve">sistemų dalyviai </w:t>
      </w:r>
      <w:r w:rsidRPr="00242E6C">
        <w:rPr>
          <w:rFonts w:ascii="Times New Roman" w:eastAsia="Times New Roman" w:hAnsi="Times New Roman"/>
          <w:sz w:val="24"/>
          <w:szCs w:val="24"/>
          <w:lang w:eastAsia="lt-LT"/>
        </w:rPr>
        <w:t xml:space="preserve">– </w:t>
      </w:r>
      <w:r w:rsidRPr="00242E6C">
        <w:rPr>
          <w:rFonts w:ascii="Times New Roman" w:hAnsi="Times New Roman"/>
          <w:bCs/>
          <w:sz w:val="24"/>
          <w:szCs w:val="24"/>
        </w:rPr>
        <w:t xml:space="preserve">atskirai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dalyviai ir </w:t>
      </w:r>
      <w:r w:rsidRPr="00242E6C">
        <w:rPr>
          <w:rFonts w:ascii="Times New Roman" w:hAnsi="Times New Roman"/>
          <w:bCs/>
          <w:iCs/>
          <w:sz w:val="24"/>
          <w:szCs w:val="24"/>
        </w:rPr>
        <w:t xml:space="preserve">ĮIDS </w:t>
      </w:r>
      <w:r w:rsidRPr="00242E6C">
        <w:rPr>
          <w:rFonts w:ascii="Times New Roman" w:hAnsi="Times New Roman"/>
          <w:sz w:val="24"/>
          <w:szCs w:val="24"/>
          <w:lang w:eastAsia="lt-LT"/>
        </w:rPr>
        <w:t xml:space="preserve">dalyviai kiekvienoje sistemoje </w:t>
      </w:r>
      <w:r w:rsidRPr="00242E6C">
        <w:rPr>
          <w:rFonts w:ascii="Times New Roman" w:hAnsi="Times New Roman"/>
          <w:bCs/>
          <w:sz w:val="24"/>
          <w:szCs w:val="24"/>
        </w:rPr>
        <w:t xml:space="preserve">sugrupuojami į tris patikrinimų kategorijas – aukštą </w:t>
      </w:r>
      <w:r>
        <w:rPr>
          <w:rFonts w:ascii="Times New Roman" w:hAnsi="Times New Roman"/>
          <w:bCs/>
          <w:sz w:val="24"/>
          <w:szCs w:val="24"/>
        </w:rPr>
        <w:t>pa</w:t>
      </w:r>
      <w:r w:rsidRPr="00242E6C">
        <w:rPr>
          <w:rFonts w:ascii="Times New Roman" w:hAnsi="Times New Roman"/>
          <w:bCs/>
          <w:sz w:val="24"/>
          <w:szCs w:val="24"/>
        </w:rPr>
        <w:t xml:space="preserve">tikrinimų kategoriją, vidutinę </w:t>
      </w:r>
      <w:r>
        <w:rPr>
          <w:rFonts w:ascii="Times New Roman" w:hAnsi="Times New Roman"/>
          <w:bCs/>
          <w:sz w:val="24"/>
          <w:szCs w:val="24"/>
        </w:rPr>
        <w:t>pa</w:t>
      </w:r>
      <w:r w:rsidRPr="00242E6C">
        <w:rPr>
          <w:rFonts w:ascii="Times New Roman" w:hAnsi="Times New Roman"/>
          <w:bCs/>
          <w:sz w:val="24"/>
          <w:szCs w:val="24"/>
        </w:rPr>
        <w:t xml:space="preserve">tikrinimų kategoriją ir žemą </w:t>
      </w:r>
      <w:r>
        <w:rPr>
          <w:rFonts w:ascii="Times New Roman" w:hAnsi="Times New Roman"/>
          <w:bCs/>
          <w:sz w:val="24"/>
          <w:szCs w:val="24"/>
        </w:rPr>
        <w:t>pa</w:t>
      </w:r>
      <w:r w:rsidRPr="00242E6C">
        <w:rPr>
          <w:rFonts w:ascii="Times New Roman" w:hAnsi="Times New Roman"/>
          <w:bCs/>
          <w:sz w:val="24"/>
          <w:szCs w:val="24"/>
        </w:rPr>
        <w:t xml:space="preserve">tikrinimų kategoriją: </w:t>
      </w:r>
    </w:p>
    <w:p w14:paraId="3025E5BA" w14:textId="209DFB50" w:rsidR="00994700" w:rsidRDefault="00994700"/>
    <w:p w14:paraId="67BEE767" w14:textId="21C0553A" w:rsidR="00BC1F00" w:rsidRDefault="00BC1F00">
      <w:r>
        <w:rPr>
          <w:noProof/>
        </w:rPr>
        <w:lastRenderedPageBreak/>
        <w:drawing>
          <wp:inline distT="0" distB="0" distL="0" distR="0" wp14:anchorId="6A9260BE" wp14:editId="794BCD03">
            <wp:extent cx="6120130" cy="3770835"/>
            <wp:effectExtent l="0" t="0" r="0" b="1270"/>
            <wp:docPr id="1323290389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F00" w:rsidSect="00BC1F0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32C5"/>
    <w:multiLevelType w:val="multilevel"/>
    <w:tmpl w:val="CC406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357" w:hanging="1080"/>
      </w:pPr>
    </w:lvl>
    <w:lvl w:ilvl="6">
      <w:start w:val="1"/>
      <w:numFmt w:val="decimal"/>
      <w:lvlText w:val="%1.%2.%3.%4.%5.%6.%7."/>
      <w:lvlJc w:val="left"/>
      <w:pPr>
        <w:ind w:left="2859" w:hanging="1440"/>
      </w:pPr>
    </w:lvl>
    <w:lvl w:ilvl="7">
      <w:start w:val="1"/>
      <w:numFmt w:val="decimal"/>
      <w:lvlText w:val="%1.%2.%3.%4.%5.%6.%7.%8."/>
      <w:lvlJc w:val="left"/>
      <w:pPr>
        <w:ind w:left="3001" w:hanging="1440"/>
      </w:pPr>
    </w:lvl>
    <w:lvl w:ilvl="8">
      <w:start w:val="1"/>
      <w:numFmt w:val="decimal"/>
      <w:lvlText w:val="%1.%2.%3.%4.%5.%6.%7.%8.%9."/>
      <w:lvlJc w:val="left"/>
      <w:pPr>
        <w:ind w:left="3503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00"/>
    <w:rsid w:val="00994700"/>
    <w:rsid w:val="00B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91D5"/>
  <w15:chartTrackingRefBased/>
  <w15:docId w15:val="{162585EA-912A-472D-A7DD-AC556707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00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BC1F00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1F00"/>
    <w:rPr>
      <w:rFonts w:ascii="Times New Roman" w:eastAsia="Calibri" w:hAnsi="Times New Roman" w:cs="Arial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6691</Words>
  <Characters>3814</Characters>
  <Application>Microsoft Office Word</Application>
  <DocSecurity>0</DocSecurity>
  <Lines>31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Sabaliauskienė</dc:creator>
  <cp:keywords/>
  <dc:description/>
  <cp:lastModifiedBy>Indrė Sabaliauskienė</cp:lastModifiedBy>
  <cp:revision>1</cp:revision>
  <dcterms:created xsi:type="dcterms:W3CDTF">2020-12-09T15:10:00Z</dcterms:created>
  <dcterms:modified xsi:type="dcterms:W3CDTF">2020-12-09T15:17:00Z</dcterms:modified>
</cp:coreProperties>
</file>