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3E4D" w14:textId="77777777" w:rsidR="00416CA1" w:rsidRDefault="006E1F57" w:rsidP="00A0394E">
      <w:r>
        <w:t xml:space="preserve">                                                         </w:t>
      </w:r>
      <w:r w:rsidR="002E1FC3">
        <w:t xml:space="preserve">                               </w:t>
      </w:r>
      <w:r w:rsidR="00416CA1">
        <w:t xml:space="preserve">  PATVIRTINTA</w:t>
      </w:r>
    </w:p>
    <w:p w14:paraId="293FF9B3" w14:textId="77777777" w:rsidR="00416CA1" w:rsidRDefault="00416CA1" w:rsidP="00416CA1">
      <w:pPr>
        <w:ind w:left="5387"/>
      </w:pPr>
      <w:r>
        <w:t>Lietuvos Respublikos finansų ministro</w:t>
      </w:r>
    </w:p>
    <w:p w14:paraId="165B06E5" w14:textId="77777777" w:rsidR="00416CA1" w:rsidRDefault="00416CA1" w:rsidP="00416CA1">
      <w:pPr>
        <w:ind w:left="5387"/>
      </w:pPr>
      <w:r>
        <w:t>2016 m. birželio 23 d. įsakymu Nr. 1K-257</w:t>
      </w:r>
    </w:p>
    <w:p w14:paraId="3D2441E1" w14:textId="77777777" w:rsidR="00416CA1" w:rsidRDefault="00416CA1" w:rsidP="00416CA1">
      <w:pPr>
        <w:ind w:left="5387"/>
      </w:pPr>
      <w:r>
        <w:t>(Lietuvos Respublikos finansų ministro</w:t>
      </w:r>
    </w:p>
    <w:p w14:paraId="3300218A" w14:textId="5D425F94" w:rsidR="00416CA1" w:rsidRDefault="00416CA1" w:rsidP="00416CA1">
      <w:pPr>
        <w:ind w:left="5387"/>
      </w:pPr>
      <w:r>
        <w:t>20</w:t>
      </w:r>
      <w:r w:rsidR="00FA686A">
        <w:t xml:space="preserve">21 </w:t>
      </w:r>
      <w:r>
        <w:t>m.</w:t>
      </w:r>
      <w:r w:rsidR="00FA686A">
        <w:t xml:space="preserve"> vasario 2</w:t>
      </w:r>
      <w:r>
        <w:t xml:space="preserve"> d. įsakymo Nr. 1K-</w:t>
      </w:r>
      <w:r w:rsidR="00FA686A">
        <w:t>28</w:t>
      </w:r>
      <w:r>
        <w:t xml:space="preserve">   redakcija)</w:t>
      </w:r>
    </w:p>
    <w:p w14:paraId="27138BF1" w14:textId="77777777" w:rsidR="006E1F57" w:rsidRPr="00C0632D" w:rsidRDefault="006E1F57" w:rsidP="00416CA1">
      <w:pPr>
        <w:tabs>
          <w:tab w:val="left" w:pos="5103"/>
        </w:tabs>
      </w:pPr>
    </w:p>
    <w:p w14:paraId="33EC6A1A" w14:textId="77777777" w:rsidR="006E1F57" w:rsidRPr="00C0632D" w:rsidRDefault="006E1F57" w:rsidP="006E1F57">
      <w:pPr>
        <w:jc w:val="right"/>
        <w:rPr>
          <w:b/>
        </w:rPr>
      </w:pPr>
    </w:p>
    <w:p w14:paraId="0FAF4136" w14:textId="77777777" w:rsidR="006E1F57" w:rsidRPr="00763B56" w:rsidRDefault="006E1F57" w:rsidP="006E1F57">
      <w:pPr>
        <w:pStyle w:val="Heading1"/>
        <w:spacing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VALSTYBĖS ĮMONĖS ,,INDĖLIŲ IR INVESTICIJŲ DRAUDIMAS“ N</w:t>
      </w:r>
      <w:r w:rsidRPr="00763B56">
        <w:rPr>
          <w:rFonts w:ascii="Times New Roman" w:hAnsi="Times New Roman"/>
          <w:sz w:val="24"/>
          <w:lang w:val="lt-LT"/>
        </w:rPr>
        <w:t>UOSAVO KAPITALO</w:t>
      </w:r>
      <w:r>
        <w:rPr>
          <w:rFonts w:ascii="Times New Roman" w:hAnsi="Times New Roman"/>
          <w:sz w:val="24"/>
        </w:rPr>
        <w:t xml:space="preserve"> LĖŠŲ INVESTAVIMO </w:t>
      </w:r>
      <w:r>
        <w:rPr>
          <w:rFonts w:ascii="Times New Roman" w:hAnsi="Times New Roman"/>
          <w:sz w:val="24"/>
          <w:lang w:val="lt-LT"/>
        </w:rPr>
        <w:t>TVARKOS APRAŠAS</w:t>
      </w:r>
    </w:p>
    <w:p w14:paraId="51657F52" w14:textId="77777777" w:rsidR="006E1F57" w:rsidRPr="00C0632D" w:rsidRDefault="006E1F57" w:rsidP="006E1F57"/>
    <w:p w14:paraId="3DD24A4D" w14:textId="77777777" w:rsidR="006E1F57" w:rsidRDefault="006E1F57" w:rsidP="006E1F57">
      <w:pPr>
        <w:pStyle w:val="Heading3"/>
        <w:spacing w:before="0" w:after="0"/>
        <w:jc w:val="center"/>
        <w:rPr>
          <w:rFonts w:ascii="Times New Roman" w:hAnsi="Times New Roman"/>
          <w:sz w:val="24"/>
          <w:lang w:val="lt-LT"/>
        </w:rPr>
      </w:pPr>
      <w:r w:rsidRPr="00C0632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lt-LT"/>
        </w:rPr>
        <w:t xml:space="preserve"> SKYRIUS</w:t>
      </w:r>
    </w:p>
    <w:p w14:paraId="477939D3" w14:textId="77777777" w:rsidR="006E1F57" w:rsidRPr="00C0632D" w:rsidRDefault="003F48AD" w:rsidP="006E1F57">
      <w:pPr>
        <w:pStyle w:val="Heading3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BENDRO</w:t>
      </w:r>
      <w:r>
        <w:rPr>
          <w:rFonts w:ascii="Times New Roman" w:hAnsi="Times New Roman"/>
          <w:sz w:val="24"/>
          <w:lang w:val="lt-LT"/>
        </w:rPr>
        <w:t>SIOS NUOSTATOS</w:t>
      </w:r>
    </w:p>
    <w:p w14:paraId="10AC22EE" w14:textId="77777777" w:rsidR="006E1F57" w:rsidRPr="00C0632D" w:rsidRDefault="006E1F57" w:rsidP="006E1F57">
      <w:pPr>
        <w:tabs>
          <w:tab w:val="left" w:pos="993"/>
        </w:tabs>
        <w:rPr>
          <w:b/>
        </w:rPr>
      </w:pPr>
    </w:p>
    <w:p w14:paraId="36C4BEAE" w14:textId="77777777" w:rsidR="006E1F57" w:rsidRDefault="006E1F57" w:rsidP="001C2050">
      <w:pPr>
        <w:tabs>
          <w:tab w:val="left" w:pos="993"/>
        </w:tabs>
        <w:ind w:firstLine="992"/>
        <w:jc w:val="both"/>
      </w:pPr>
      <w:r>
        <w:t>1. Valstybės įmonės „Indėlių ir investicijų draudimas“ nuosavo kapitalo lėšų investavimo tvarkos apraš</w:t>
      </w:r>
      <w:r w:rsidR="003662CD">
        <w:t>e</w:t>
      </w:r>
      <w:r>
        <w:t xml:space="preserve"> (toliau – Aprašas) </w:t>
      </w:r>
      <w:r w:rsidR="003662CD">
        <w:t>reglamentuojama</w:t>
      </w:r>
      <w:r>
        <w:t>:</w:t>
      </w:r>
    </w:p>
    <w:p w14:paraId="34D3F839" w14:textId="77777777" w:rsidR="006E1F57" w:rsidRDefault="006E1F57" w:rsidP="001C2050">
      <w:pPr>
        <w:tabs>
          <w:tab w:val="left" w:pos="993"/>
        </w:tabs>
        <w:ind w:firstLine="992"/>
        <w:jc w:val="both"/>
      </w:pPr>
      <w:r>
        <w:t xml:space="preserve">1.1. valstybės įmonės „Indėlių ir investicijų draudimas“ (toliau </w:t>
      </w:r>
      <w:r w:rsidRPr="00ED5DCE">
        <w:t>–</w:t>
      </w:r>
      <w:r w:rsidR="002953AF">
        <w:t xml:space="preserve"> Į</w:t>
      </w:r>
      <w:r>
        <w:t xml:space="preserve">monė) nuosavo kapitalo lėšų </w:t>
      </w:r>
      <w:r w:rsidRPr="00C0632D">
        <w:t>investavimo princip</w:t>
      </w:r>
      <w:r w:rsidR="003662CD">
        <w:t>ai</w:t>
      </w:r>
      <w:r>
        <w:t>;</w:t>
      </w:r>
    </w:p>
    <w:p w14:paraId="42E66279" w14:textId="77777777" w:rsidR="006E1F57" w:rsidRDefault="006E1F57" w:rsidP="001C2050">
      <w:pPr>
        <w:tabs>
          <w:tab w:val="left" w:pos="993"/>
        </w:tabs>
        <w:ind w:firstLine="992"/>
        <w:jc w:val="both"/>
      </w:pPr>
      <w:r>
        <w:t xml:space="preserve">1.2. </w:t>
      </w:r>
      <w:r w:rsidR="002953AF">
        <w:t>Į</w:t>
      </w:r>
      <w:r>
        <w:t>monės nuosavo kapitalo lėšų investavimo kriterij</w:t>
      </w:r>
      <w:r w:rsidR="003662CD">
        <w:t>ai</w:t>
      </w:r>
      <w:r>
        <w:t>;</w:t>
      </w:r>
    </w:p>
    <w:p w14:paraId="1B5C858A" w14:textId="77777777" w:rsidR="006E1F57" w:rsidRDefault="006E1F57" w:rsidP="001C2050">
      <w:pPr>
        <w:tabs>
          <w:tab w:val="left" w:pos="993"/>
        </w:tabs>
        <w:ind w:firstLine="992"/>
        <w:jc w:val="both"/>
      </w:pPr>
      <w:r>
        <w:t xml:space="preserve">1.3. </w:t>
      </w:r>
      <w:r w:rsidR="002953AF">
        <w:t>Į</w:t>
      </w:r>
      <w:r>
        <w:t>monės nuosavo kapitalo lėšų investavimo rizikos valdymo princip</w:t>
      </w:r>
      <w:r w:rsidR="003662CD">
        <w:t>ai</w:t>
      </w:r>
      <w:r>
        <w:t>;</w:t>
      </w:r>
    </w:p>
    <w:p w14:paraId="477BC0D8" w14:textId="77777777" w:rsidR="006E1F57" w:rsidRDefault="006E1F57" w:rsidP="001C2050">
      <w:pPr>
        <w:tabs>
          <w:tab w:val="left" w:pos="993"/>
        </w:tabs>
        <w:ind w:firstLine="992"/>
        <w:jc w:val="both"/>
      </w:pPr>
      <w:r>
        <w:t xml:space="preserve">1.4. sprendimų dėl </w:t>
      </w:r>
      <w:r w:rsidR="002953AF">
        <w:t>Į</w:t>
      </w:r>
      <w:r>
        <w:t>monės nuosavo kapitalo</w:t>
      </w:r>
      <w:r w:rsidR="003F48AD">
        <w:t xml:space="preserve"> lėšų</w:t>
      </w:r>
      <w:r w:rsidR="00B500EE">
        <w:t xml:space="preserve"> investavimo priėmimo tvark</w:t>
      </w:r>
      <w:r w:rsidR="003662CD">
        <w:t>a</w:t>
      </w:r>
      <w:r>
        <w:t>.</w:t>
      </w:r>
    </w:p>
    <w:p w14:paraId="71A203C5" w14:textId="77777777" w:rsidR="006E1F57" w:rsidRDefault="006E1F57" w:rsidP="001C2050">
      <w:pPr>
        <w:tabs>
          <w:tab w:val="left" w:pos="993"/>
        </w:tabs>
        <w:ind w:firstLine="992"/>
        <w:jc w:val="both"/>
      </w:pPr>
      <w:r>
        <w:t xml:space="preserve">2. Apraše vartojamos sąvokos suprantamos taip, kaip jos </w:t>
      </w:r>
      <w:r w:rsidR="002953AF">
        <w:t>vartojamos</w:t>
      </w:r>
      <w:r>
        <w:t xml:space="preserve"> Lietuvos Respublikos indėlių ir įsipareigojimų investuotojams draudi</w:t>
      </w:r>
      <w:r w:rsidR="003F48AD">
        <w:t>mo įstatyme</w:t>
      </w:r>
      <w:r w:rsidR="00A07E3E">
        <w:t xml:space="preserve"> (toliau – Įstatymas)</w:t>
      </w:r>
      <w:r>
        <w:t>.</w:t>
      </w:r>
    </w:p>
    <w:p w14:paraId="6F778C95" w14:textId="77777777" w:rsidR="003F48AD" w:rsidRDefault="003F48AD" w:rsidP="001C2050">
      <w:pPr>
        <w:tabs>
          <w:tab w:val="left" w:pos="993"/>
        </w:tabs>
        <w:ind w:firstLine="992"/>
        <w:jc w:val="both"/>
      </w:pPr>
      <w:r>
        <w:t xml:space="preserve">3. </w:t>
      </w:r>
      <w:r w:rsidR="002953AF">
        <w:t>Į</w:t>
      </w:r>
      <w:r>
        <w:t>monė</w:t>
      </w:r>
      <w:r w:rsidR="006E1F57">
        <w:t xml:space="preserve"> nuosavo ka</w:t>
      </w:r>
      <w:r w:rsidR="00732F5D">
        <w:t>pitalo lėšas investuoja ir</w:t>
      </w:r>
      <w:r w:rsidR="00083331">
        <w:t xml:space="preserve"> </w:t>
      </w:r>
      <w:r w:rsidR="002953AF">
        <w:t xml:space="preserve">jų </w:t>
      </w:r>
      <w:r>
        <w:t>apskaitą tvarko</w:t>
      </w:r>
      <w:r w:rsidR="006E1F57">
        <w:t xml:space="preserve"> atskirai nuo </w:t>
      </w:r>
      <w:r w:rsidR="002953AF">
        <w:t>Į</w:t>
      </w:r>
      <w:r w:rsidR="006E1F57">
        <w:t>monės administruojam</w:t>
      </w:r>
      <w:r w:rsidR="002953AF">
        <w:t>o</w:t>
      </w:r>
      <w:r w:rsidR="006E1F57">
        <w:t xml:space="preserve"> Indėlių draudimo fondo</w:t>
      </w:r>
      <w:r w:rsidR="00083331">
        <w:t>,</w:t>
      </w:r>
      <w:r w:rsidR="006E1F57">
        <w:t xml:space="preserve"> Įsipareigojimų investuotojams draudimo fondo</w:t>
      </w:r>
      <w:r w:rsidR="00083331">
        <w:t xml:space="preserve"> ir Pertvarkymo fondo</w:t>
      </w:r>
      <w:r w:rsidR="006E1F57">
        <w:t xml:space="preserve"> lėšų apskaitos.</w:t>
      </w:r>
    </w:p>
    <w:p w14:paraId="58591F3F" w14:textId="77777777" w:rsidR="006E1F57" w:rsidRPr="00C0632D" w:rsidRDefault="003F48AD" w:rsidP="001C2050">
      <w:pPr>
        <w:tabs>
          <w:tab w:val="left" w:pos="993"/>
        </w:tabs>
        <w:ind w:firstLine="992"/>
        <w:jc w:val="both"/>
      </w:pPr>
      <w:r>
        <w:t xml:space="preserve">4. </w:t>
      </w:r>
      <w:r w:rsidR="002953AF">
        <w:t>Į</w:t>
      </w:r>
      <w:r>
        <w:t xml:space="preserve">monė nuosavo kapitalo </w:t>
      </w:r>
      <w:r w:rsidRPr="00ED5DCE">
        <w:t xml:space="preserve">lėšų </w:t>
      </w:r>
      <w:r>
        <w:t>investavimo į vertybinius popierius paslaugas – banko arba finansų maklerio įmonės, turinčios teisę dalyvauti Lietuvos Respublikos Vyriausybės vertybinių popierių aukcionuose, atliekam</w:t>
      </w:r>
      <w:r w:rsidR="00F83AE8">
        <w:t>o</w:t>
      </w:r>
      <w:r>
        <w:t xml:space="preserve"> finansinių priemonių ir </w:t>
      </w:r>
      <w:r w:rsidR="002953AF">
        <w:t>l</w:t>
      </w:r>
      <w:r>
        <w:t>ėšų saugojim</w:t>
      </w:r>
      <w:r w:rsidR="00F83AE8">
        <w:t>o</w:t>
      </w:r>
      <w:r>
        <w:t xml:space="preserve"> ir apskait</w:t>
      </w:r>
      <w:r w:rsidR="00F83AE8">
        <w:t>os</w:t>
      </w:r>
      <w:r>
        <w:t>, pavedimų vykdym</w:t>
      </w:r>
      <w:r w:rsidR="00F83AE8">
        <w:t>o</w:t>
      </w:r>
      <w:r>
        <w:t xml:space="preserve"> – perka Lietuvos Respublikos viešųjų pirkimų įstatymo nustatyta tvarka.</w:t>
      </w:r>
    </w:p>
    <w:p w14:paraId="6E109C1C" w14:textId="77777777" w:rsidR="006E1F57" w:rsidRDefault="006E1F57" w:rsidP="006E1F57">
      <w:pPr>
        <w:tabs>
          <w:tab w:val="left" w:pos="900"/>
        </w:tabs>
        <w:ind w:left="567"/>
        <w:jc w:val="both"/>
      </w:pPr>
    </w:p>
    <w:p w14:paraId="0E41D16A" w14:textId="77777777" w:rsidR="006E1F57" w:rsidRDefault="006E1F57" w:rsidP="006E1F57">
      <w:pPr>
        <w:pStyle w:val="Heading3"/>
        <w:spacing w:before="0" w:after="0"/>
        <w:jc w:val="center"/>
        <w:rPr>
          <w:rFonts w:ascii="Times New Roman" w:hAnsi="Times New Roman"/>
          <w:sz w:val="24"/>
          <w:lang w:val="lt-LT"/>
        </w:rPr>
      </w:pPr>
      <w:r w:rsidRPr="00C0632D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  <w:lang w:val="lt-LT"/>
        </w:rPr>
        <w:t xml:space="preserve"> SKYRIUS</w:t>
      </w:r>
    </w:p>
    <w:p w14:paraId="0E0B9113" w14:textId="77777777" w:rsidR="006E1F57" w:rsidRPr="00C0632D" w:rsidRDefault="006E1F57" w:rsidP="006E1F57">
      <w:pPr>
        <w:pStyle w:val="Heading3"/>
        <w:spacing w:before="0" w:after="0"/>
        <w:jc w:val="center"/>
        <w:rPr>
          <w:rFonts w:ascii="Times New Roman" w:hAnsi="Times New Roman"/>
          <w:sz w:val="24"/>
        </w:rPr>
      </w:pPr>
      <w:r w:rsidRPr="000840C6">
        <w:rPr>
          <w:rFonts w:ascii="Times New Roman" w:hAnsi="Times New Roman"/>
          <w:sz w:val="24"/>
          <w:szCs w:val="24"/>
        </w:rPr>
        <w:t>ĮMONĖS NUOSAVO KAPITALO LĖŠŲ</w:t>
      </w:r>
      <w:r>
        <w:t xml:space="preserve"> </w:t>
      </w:r>
      <w:r w:rsidRPr="00C0632D">
        <w:rPr>
          <w:rFonts w:ascii="Times New Roman" w:hAnsi="Times New Roman"/>
          <w:sz w:val="24"/>
        </w:rPr>
        <w:t>INVESTAVIMO PRINCIPAI</w:t>
      </w:r>
    </w:p>
    <w:p w14:paraId="6CC936E7" w14:textId="77777777" w:rsidR="006E1F57" w:rsidRPr="00C0632D" w:rsidRDefault="006E1F57" w:rsidP="006E1F57">
      <w:pPr>
        <w:tabs>
          <w:tab w:val="num" w:pos="360"/>
        </w:tabs>
        <w:ind w:firstLine="720"/>
      </w:pPr>
    </w:p>
    <w:p w14:paraId="7E4C342D" w14:textId="77777777" w:rsidR="006E1F57" w:rsidRDefault="00684E98" w:rsidP="001C2050">
      <w:pPr>
        <w:tabs>
          <w:tab w:val="left" w:pos="993"/>
        </w:tabs>
        <w:ind w:firstLine="992"/>
        <w:jc w:val="both"/>
      </w:pPr>
      <w:r>
        <w:t>5</w:t>
      </w:r>
      <w:r w:rsidR="006E1F57">
        <w:t xml:space="preserve">. </w:t>
      </w:r>
      <w:r w:rsidR="002953AF">
        <w:t>Į</w:t>
      </w:r>
      <w:r w:rsidR="006E1F57">
        <w:t>monės</w:t>
      </w:r>
      <w:r w:rsidR="006E1F57" w:rsidRPr="00ED5DCE">
        <w:t xml:space="preserve"> </w:t>
      </w:r>
      <w:r w:rsidR="006E1F57">
        <w:t xml:space="preserve">nuosavo kapitalo </w:t>
      </w:r>
      <w:r w:rsidR="006E1F57" w:rsidRPr="00ED5DCE">
        <w:t xml:space="preserve">lėšų </w:t>
      </w:r>
      <w:r w:rsidR="006E1F57">
        <w:t>investavimo principai pagal svarbą:</w:t>
      </w:r>
      <w:r w:rsidR="006E1F57" w:rsidRPr="00ED5DCE">
        <w:t xml:space="preserve"> </w:t>
      </w:r>
    </w:p>
    <w:p w14:paraId="4C7A90B7" w14:textId="77777777" w:rsidR="006E1F57" w:rsidRDefault="00684E98" w:rsidP="001C2050">
      <w:pPr>
        <w:tabs>
          <w:tab w:val="left" w:pos="993"/>
        </w:tabs>
        <w:ind w:firstLine="992"/>
        <w:jc w:val="both"/>
      </w:pPr>
      <w:r>
        <w:t>5</w:t>
      </w:r>
      <w:r w:rsidR="006E1F57">
        <w:t xml:space="preserve">.1. </w:t>
      </w:r>
      <w:r w:rsidR="006E1F57" w:rsidRPr="00ED5DCE">
        <w:t>saugum</w:t>
      </w:r>
      <w:r w:rsidR="002953AF">
        <w:t>o</w:t>
      </w:r>
      <w:r w:rsidR="006E1F57">
        <w:t xml:space="preserve"> – </w:t>
      </w:r>
      <w:r w:rsidR="002953AF">
        <w:t>Į</w:t>
      </w:r>
      <w:r w:rsidR="006E1F57">
        <w:t xml:space="preserve">monės nuosavo kapitalo </w:t>
      </w:r>
      <w:r w:rsidR="006E1F57" w:rsidRPr="00ED5DCE">
        <w:t xml:space="preserve">lėšos </w:t>
      </w:r>
      <w:r w:rsidR="006E1F57">
        <w:t>investuojamos</w:t>
      </w:r>
      <w:r w:rsidR="006E1F57" w:rsidRPr="002F61CC">
        <w:t xml:space="preserve"> </w:t>
      </w:r>
      <w:r w:rsidR="00A07E3E">
        <w:t xml:space="preserve">į </w:t>
      </w:r>
      <w:r w:rsidR="000E7D76">
        <w:t xml:space="preserve">priemones, atitinkančias </w:t>
      </w:r>
      <w:r w:rsidR="00A07E3E">
        <w:t>mažos rizi</w:t>
      </w:r>
      <w:r w:rsidR="00993901">
        <w:t>kos turtą</w:t>
      </w:r>
      <w:r w:rsidR="006E1F57">
        <w:t>;</w:t>
      </w:r>
    </w:p>
    <w:p w14:paraId="150EABC0" w14:textId="77777777" w:rsidR="00732F5D" w:rsidRDefault="00684E98" w:rsidP="001C2050">
      <w:pPr>
        <w:tabs>
          <w:tab w:val="left" w:pos="993"/>
        </w:tabs>
        <w:ind w:firstLine="992"/>
        <w:jc w:val="both"/>
      </w:pPr>
      <w:r>
        <w:t>5</w:t>
      </w:r>
      <w:r w:rsidR="00732F5D">
        <w:t>.2. likvidum</w:t>
      </w:r>
      <w:r w:rsidR="002953AF">
        <w:t>o</w:t>
      </w:r>
      <w:r w:rsidR="006E1F57">
        <w:t xml:space="preserve"> – </w:t>
      </w:r>
      <w:r w:rsidR="002953AF">
        <w:t>Į</w:t>
      </w:r>
      <w:r w:rsidR="006E1F57">
        <w:t xml:space="preserve">monės nuosavo kapitalo </w:t>
      </w:r>
      <w:r w:rsidR="006E1F57" w:rsidRPr="00ED5DCE">
        <w:t xml:space="preserve">lėšos </w:t>
      </w:r>
      <w:r w:rsidR="006E1F57">
        <w:t>investuojamos</w:t>
      </w:r>
      <w:r w:rsidR="006E1F57" w:rsidRPr="002F61CC">
        <w:t xml:space="preserve"> </w:t>
      </w:r>
      <w:r w:rsidR="004353A8">
        <w:t>į</w:t>
      </w:r>
      <w:r w:rsidR="00A07E3E">
        <w:t xml:space="preserve"> </w:t>
      </w:r>
      <w:r w:rsidR="000E7D76">
        <w:t>priemones</w:t>
      </w:r>
      <w:r w:rsidR="007673DC">
        <w:t xml:space="preserve"> tokiomis sąlygomis</w:t>
      </w:r>
      <w:r w:rsidR="00732F5D">
        <w:t>,</w:t>
      </w:r>
      <w:r w:rsidR="007673DC">
        <w:t xml:space="preserve"> kurios leistų šias priemones paversti</w:t>
      </w:r>
      <w:r w:rsidR="00476BC0">
        <w:t xml:space="preserve"> </w:t>
      </w:r>
      <w:r w:rsidR="002953AF">
        <w:t>Į</w:t>
      </w:r>
      <w:r w:rsidR="007673DC">
        <w:t xml:space="preserve">monės nuosavo kapitalo privalomojo rezervo dydžio </w:t>
      </w:r>
      <w:r w:rsidR="00476BC0">
        <w:t>grynaisiais pinigais</w:t>
      </w:r>
      <w:r w:rsidR="00732F5D">
        <w:t xml:space="preserve"> per ne ilgesnį nei Įstatyme nustatytą indėlių draudimo išmokų arba įsipareigojimų investuotojams draudimo išmokų išmokėjimo terminą; </w:t>
      </w:r>
      <w:r w:rsidR="000E7D76">
        <w:t xml:space="preserve"> </w:t>
      </w:r>
    </w:p>
    <w:p w14:paraId="6EDFB479" w14:textId="77777777" w:rsidR="006E1F57" w:rsidRDefault="00684E98" w:rsidP="001C2050">
      <w:pPr>
        <w:tabs>
          <w:tab w:val="left" w:pos="993"/>
        </w:tabs>
        <w:ind w:firstLine="992"/>
        <w:jc w:val="both"/>
      </w:pPr>
      <w:r>
        <w:t>5</w:t>
      </w:r>
      <w:r w:rsidR="00732F5D">
        <w:t>.3. pelningum</w:t>
      </w:r>
      <w:r w:rsidR="002953AF">
        <w:t>o</w:t>
      </w:r>
      <w:r w:rsidR="006E1F57">
        <w:t xml:space="preserve"> – </w:t>
      </w:r>
      <w:r w:rsidR="002953AF">
        <w:t>Į</w:t>
      </w:r>
      <w:r w:rsidR="006E1F57">
        <w:t xml:space="preserve">monės nuosavo kapitalo </w:t>
      </w:r>
      <w:r w:rsidR="006E1F57" w:rsidRPr="00ED5DCE">
        <w:t xml:space="preserve">lėšos </w:t>
      </w:r>
      <w:r w:rsidR="006E1F57">
        <w:t>investuojamos siekiant didžiausios investicijų grąžos.</w:t>
      </w:r>
    </w:p>
    <w:p w14:paraId="171B69FD" w14:textId="77777777" w:rsidR="006E1F57" w:rsidRDefault="006E1F57" w:rsidP="006E1F57">
      <w:pPr>
        <w:tabs>
          <w:tab w:val="left" w:pos="993"/>
        </w:tabs>
        <w:jc w:val="both"/>
      </w:pPr>
      <w:r>
        <w:tab/>
        <w:t xml:space="preserve"> </w:t>
      </w:r>
    </w:p>
    <w:p w14:paraId="11BDD545" w14:textId="77777777" w:rsidR="006E1F57" w:rsidRDefault="006E1F57" w:rsidP="006E1F57">
      <w:pPr>
        <w:pStyle w:val="Heading3"/>
        <w:spacing w:before="0" w:after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</w:rPr>
        <w:t>II</w:t>
      </w:r>
      <w:r w:rsidRPr="00C0632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lt-LT"/>
        </w:rPr>
        <w:t xml:space="preserve"> SKYRIUS</w:t>
      </w:r>
    </w:p>
    <w:p w14:paraId="3AAB810C" w14:textId="77777777" w:rsidR="006E1F57" w:rsidRPr="00684E98" w:rsidRDefault="006E1F57" w:rsidP="006E1F57">
      <w:pPr>
        <w:pStyle w:val="Heading3"/>
        <w:spacing w:before="0" w:after="0"/>
        <w:jc w:val="center"/>
        <w:rPr>
          <w:rFonts w:ascii="Times New Roman" w:hAnsi="Times New Roman"/>
          <w:sz w:val="24"/>
          <w:lang w:val="lt-LT"/>
        </w:rPr>
      </w:pPr>
      <w:r w:rsidRPr="000840C6">
        <w:rPr>
          <w:rFonts w:ascii="Times New Roman" w:hAnsi="Times New Roman"/>
          <w:sz w:val="24"/>
          <w:szCs w:val="24"/>
        </w:rPr>
        <w:t>ĮMONĖS NUOSAVO KAPITALO LĖŠŲ</w:t>
      </w:r>
      <w:r>
        <w:t xml:space="preserve"> </w:t>
      </w:r>
      <w:r w:rsidRPr="00C0632D">
        <w:rPr>
          <w:rFonts w:ascii="Times New Roman" w:hAnsi="Times New Roman"/>
          <w:sz w:val="24"/>
        </w:rPr>
        <w:t xml:space="preserve">INVESTAVIMO </w:t>
      </w:r>
      <w:r>
        <w:rPr>
          <w:rFonts w:ascii="Times New Roman" w:hAnsi="Times New Roman"/>
          <w:sz w:val="24"/>
        </w:rPr>
        <w:t>KRITERIJAI</w:t>
      </w:r>
    </w:p>
    <w:p w14:paraId="6082800D" w14:textId="77777777" w:rsidR="006E1F57" w:rsidRPr="00C0632D" w:rsidRDefault="006E1F57" w:rsidP="006E1F57">
      <w:pPr>
        <w:jc w:val="both"/>
      </w:pPr>
    </w:p>
    <w:p w14:paraId="097752A2" w14:textId="77777777" w:rsidR="006E1F57" w:rsidRPr="006F51A7" w:rsidRDefault="006E1F57" w:rsidP="001C2050">
      <w:pPr>
        <w:tabs>
          <w:tab w:val="left" w:pos="993"/>
        </w:tabs>
        <w:ind w:firstLine="992"/>
        <w:jc w:val="both"/>
      </w:pPr>
      <w:r w:rsidRPr="006F51A7">
        <w:t xml:space="preserve">6. </w:t>
      </w:r>
      <w:r w:rsidR="002953AF">
        <w:t>Į</w:t>
      </w:r>
      <w:r w:rsidRPr="006F51A7">
        <w:t xml:space="preserve">monės nuosavo kapitalo lėšos </w:t>
      </w:r>
      <w:r w:rsidR="00F857F8" w:rsidRPr="006F51A7">
        <w:t>pagal investavimo trukmę skirstomos</w:t>
      </w:r>
      <w:r w:rsidR="002953AF">
        <w:t xml:space="preserve"> į</w:t>
      </w:r>
      <w:r w:rsidRPr="006F51A7">
        <w:t>:</w:t>
      </w:r>
    </w:p>
    <w:p w14:paraId="41A9D782" w14:textId="77777777" w:rsidR="00F857F8" w:rsidRPr="006F51A7" w:rsidRDefault="00F857F8" w:rsidP="001C2050">
      <w:pPr>
        <w:tabs>
          <w:tab w:val="left" w:pos="993"/>
        </w:tabs>
        <w:ind w:firstLine="992"/>
        <w:jc w:val="both"/>
      </w:pPr>
      <w:r w:rsidRPr="006F51A7">
        <w:t>6.1. trump</w:t>
      </w:r>
      <w:r w:rsidR="00BC429E">
        <w:t>alaikes investicijas</w:t>
      </w:r>
      <w:r w:rsidRPr="006F51A7">
        <w:t xml:space="preserve"> (</w:t>
      </w:r>
      <w:r w:rsidR="00BC429E">
        <w:t>iki</w:t>
      </w:r>
      <w:r w:rsidRPr="006F51A7">
        <w:t xml:space="preserve"> 12 mėn</w:t>
      </w:r>
      <w:r w:rsidR="00BC429E">
        <w:t>esių</w:t>
      </w:r>
      <w:r w:rsidRPr="006F51A7">
        <w:t>);</w:t>
      </w:r>
    </w:p>
    <w:p w14:paraId="2BBD7B15" w14:textId="77777777" w:rsidR="00F857F8" w:rsidRPr="006F51A7" w:rsidRDefault="00F857F8" w:rsidP="001C2050">
      <w:pPr>
        <w:tabs>
          <w:tab w:val="left" w:pos="993"/>
        </w:tabs>
        <w:ind w:firstLine="992"/>
        <w:jc w:val="both"/>
      </w:pPr>
      <w:r w:rsidRPr="006F51A7">
        <w:lastRenderedPageBreak/>
        <w:t>6.2. ilg</w:t>
      </w:r>
      <w:r w:rsidR="00BC429E">
        <w:t>alaikes investicijas</w:t>
      </w:r>
      <w:r w:rsidRPr="006F51A7">
        <w:t xml:space="preserve"> (12 mėn</w:t>
      </w:r>
      <w:r w:rsidR="00BC429E">
        <w:t>esių</w:t>
      </w:r>
      <w:r w:rsidRPr="006F51A7">
        <w:t xml:space="preserve"> ir </w:t>
      </w:r>
      <w:r w:rsidR="00BC429E">
        <w:t>ilgiau</w:t>
      </w:r>
      <w:r w:rsidRPr="006F51A7">
        <w:t>). Ilg</w:t>
      </w:r>
      <w:r w:rsidR="00D83FBC">
        <w:t>alaikės</w:t>
      </w:r>
      <w:r w:rsidRPr="006F51A7">
        <w:t xml:space="preserve"> investicijos gali sudaryti 90</w:t>
      </w:r>
      <w:r w:rsidR="00D8569B">
        <w:t> </w:t>
      </w:r>
      <w:r w:rsidRPr="006F51A7">
        <w:t>proc</w:t>
      </w:r>
      <w:r w:rsidR="00916249" w:rsidRPr="006F51A7">
        <w:t>entų</w:t>
      </w:r>
      <w:r w:rsidRPr="006F51A7">
        <w:t xml:space="preserve"> visų nuosavo kapitalo lėšų.</w:t>
      </w:r>
    </w:p>
    <w:p w14:paraId="1F279AD7" w14:textId="77777777" w:rsidR="00F857F8" w:rsidRPr="006F51A7" w:rsidRDefault="00F857F8" w:rsidP="001C2050">
      <w:pPr>
        <w:tabs>
          <w:tab w:val="left" w:pos="993"/>
        </w:tabs>
        <w:ind w:firstLine="992"/>
        <w:jc w:val="both"/>
      </w:pPr>
      <w:r w:rsidRPr="006F51A7">
        <w:t xml:space="preserve">7. </w:t>
      </w:r>
      <w:r w:rsidR="00BC429E">
        <w:t>Į</w:t>
      </w:r>
      <w:r w:rsidRPr="006F51A7">
        <w:t>monės nuosavo kapitalo lėšos investuojamos į šias priemones:</w:t>
      </w:r>
    </w:p>
    <w:p w14:paraId="4D6BE526" w14:textId="77777777" w:rsidR="006E1F57" w:rsidRPr="006F51A7" w:rsidRDefault="00F857F8" w:rsidP="001C2050">
      <w:pPr>
        <w:tabs>
          <w:tab w:val="left" w:pos="993"/>
        </w:tabs>
        <w:ind w:firstLine="992"/>
        <w:jc w:val="both"/>
      </w:pPr>
      <w:r w:rsidRPr="006F51A7">
        <w:t>7</w:t>
      </w:r>
      <w:r w:rsidR="006E1F57" w:rsidRPr="006F51A7">
        <w:t xml:space="preserve">.1. lėšas eurais </w:t>
      </w:r>
      <w:r w:rsidR="00BC429E">
        <w:t>Į</w:t>
      </w:r>
      <w:r w:rsidR="00732F5D" w:rsidRPr="006F51A7">
        <w:t xml:space="preserve">monės sąskaitose </w:t>
      </w:r>
      <w:r w:rsidR="006E1F57" w:rsidRPr="006F51A7">
        <w:t>Europos Sąjungos valstybių narių, Šveicarijos ir Europos e</w:t>
      </w:r>
      <w:r w:rsidR="00732F5D" w:rsidRPr="006F51A7">
        <w:t>konominės erdvės valstybių bankuose arba jų filialuose</w:t>
      </w:r>
      <w:r w:rsidR="003B3A78">
        <w:t>, taip pat Lietuvos banke</w:t>
      </w:r>
      <w:r w:rsidR="006E1F57" w:rsidRPr="006F51A7">
        <w:t>;</w:t>
      </w:r>
    </w:p>
    <w:p w14:paraId="3F42C1BD" w14:textId="77777777" w:rsidR="006E1F57" w:rsidRPr="006F51A7" w:rsidRDefault="00F857F8" w:rsidP="001C2050">
      <w:pPr>
        <w:tabs>
          <w:tab w:val="left" w:pos="993"/>
        </w:tabs>
        <w:ind w:firstLine="992"/>
        <w:jc w:val="both"/>
      </w:pPr>
      <w:r w:rsidRPr="006F51A7">
        <w:t>7</w:t>
      </w:r>
      <w:r w:rsidR="006E1F57" w:rsidRPr="006F51A7">
        <w:t>.2. terminuotu</w:t>
      </w:r>
      <w:r w:rsidR="00732F5D" w:rsidRPr="006F51A7">
        <w:t>osius</w:t>
      </w:r>
      <w:r w:rsidR="006E1F57" w:rsidRPr="006F51A7">
        <w:t xml:space="preserve"> indėlius eurais Europos Sąjungos valstybių narių, Šveicarijos ir Europos ekonominės erdvės valstybių bankuose ar jų filialuose</w:t>
      </w:r>
      <w:r w:rsidR="003B3A78">
        <w:t>, taip pat Lietuvos banke</w:t>
      </w:r>
      <w:r w:rsidR="006E1F57" w:rsidRPr="006F51A7">
        <w:t>;</w:t>
      </w:r>
    </w:p>
    <w:p w14:paraId="7F0F4ED1" w14:textId="77777777" w:rsidR="006E1F57" w:rsidRPr="006F51A7" w:rsidRDefault="00F857F8" w:rsidP="001C2050">
      <w:pPr>
        <w:tabs>
          <w:tab w:val="left" w:pos="993"/>
        </w:tabs>
        <w:ind w:firstLine="992"/>
        <w:jc w:val="both"/>
      </w:pPr>
      <w:r w:rsidRPr="006F51A7">
        <w:t>7.</w:t>
      </w:r>
      <w:r w:rsidR="006E1F57" w:rsidRPr="006F51A7">
        <w:t xml:space="preserve">3. vyriausybių vertybinius popierius eurais.  </w:t>
      </w:r>
    </w:p>
    <w:p w14:paraId="094F9BFE" w14:textId="77777777" w:rsidR="006E1F57" w:rsidRPr="006F51A7" w:rsidRDefault="00F857F8" w:rsidP="001C2050">
      <w:pPr>
        <w:tabs>
          <w:tab w:val="left" w:pos="993"/>
        </w:tabs>
        <w:ind w:firstLine="992"/>
        <w:jc w:val="both"/>
      </w:pPr>
      <w:r w:rsidRPr="006F51A7">
        <w:t>8.</w:t>
      </w:r>
      <w:r w:rsidR="006E1F57" w:rsidRPr="006F51A7">
        <w:t xml:space="preserve"> </w:t>
      </w:r>
      <w:r w:rsidR="00BC429E">
        <w:t>Į</w:t>
      </w:r>
      <w:r w:rsidR="006E1F57" w:rsidRPr="006F51A7">
        <w:t xml:space="preserve">monės nuosavo kapitalo </w:t>
      </w:r>
      <w:r w:rsidR="00A07E3E" w:rsidRPr="006F51A7">
        <w:t>lėšos</w:t>
      </w:r>
      <w:r w:rsidR="00B61A81" w:rsidRPr="006F51A7">
        <w:t xml:space="preserve"> gali būti </w:t>
      </w:r>
      <w:r w:rsidR="00A07E3E" w:rsidRPr="006F51A7">
        <w:t>investuojamos</w:t>
      </w:r>
      <w:r w:rsidR="006E1F57" w:rsidRPr="006F51A7">
        <w:t xml:space="preserve"> į lėšas eurais </w:t>
      </w:r>
      <w:r w:rsidR="00BC429E">
        <w:t>Į</w:t>
      </w:r>
      <w:r w:rsidR="00732F5D" w:rsidRPr="006F51A7">
        <w:t>monės sąskaitose</w:t>
      </w:r>
      <w:r w:rsidR="00E075A6" w:rsidRPr="006F51A7">
        <w:t xml:space="preserve"> arba į terminuotuosius indėlius eurais </w:t>
      </w:r>
      <w:r w:rsidR="006E1F57" w:rsidRPr="006F51A7">
        <w:t>Europos Sąjungos valstybių narių, Šveicarijos ir Europos e</w:t>
      </w:r>
      <w:r w:rsidR="00732F5D" w:rsidRPr="006F51A7">
        <w:t>konominės erdvės valstybių bankuose arba jų filialuose</w:t>
      </w:r>
      <w:r w:rsidR="007673DC" w:rsidRPr="006F51A7">
        <w:t>,</w:t>
      </w:r>
      <w:r w:rsidR="006E1F57" w:rsidRPr="006F51A7">
        <w:t xml:space="preserve"> </w:t>
      </w:r>
      <w:r w:rsidR="00A07E3E" w:rsidRPr="006F51A7">
        <w:t>jeigu</w:t>
      </w:r>
      <w:r w:rsidR="006E1F57" w:rsidRPr="006F51A7">
        <w:t>:</w:t>
      </w:r>
    </w:p>
    <w:p w14:paraId="4E2020AF" w14:textId="77777777" w:rsidR="006E1F57" w:rsidRPr="006F51A7" w:rsidRDefault="00F857F8" w:rsidP="001C2050">
      <w:pPr>
        <w:tabs>
          <w:tab w:val="left" w:pos="993"/>
        </w:tabs>
        <w:ind w:firstLine="992"/>
        <w:jc w:val="both"/>
        <w:rPr>
          <w:rFonts w:eastAsia="Calibri"/>
          <w:lang w:eastAsia="en-US"/>
        </w:rPr>
      </w:pPr>
      <w:r w:rsidRPr="006F51A7">
        <w:t>8</w:t>
      </w:r>
      <w:r w:rsidR="006E1F57" w:rsidRPr="006F51A7">
        <w:t>.1. Europos Sąjungos valstybių narių, Šveicarijos ir Europos ekonominės erdvės valstybių bankai ar jų filialai turi</w:t>
      </w:r>
      <w:r w:rsidR="00B500EE" w:rsidRPr="006F51A7">
        <w:t xml:space="preserve"> </w:t>
      </w:r>
      <w:r w:rsidR="00BC429E">
        <w:t xml:space="preserve">tarptautinės kredito reitingų </w:t>
      </w:r>
      <w:r w:rsidR="00B500EE" w:rsidRPr="006F51A7">
        <w:t>agentūros</w:t>
      </w:r>
      <w:r w:rsidR="006E1F57" w:rsidRPr="006F51A7">
        <w:t xml:space="preserve"> </w:t>
      </w:r>
      <w:r w:rsidR="009D64D2" w:rsidRPr="001C2050">
        <w:rPr>
          <w:i/>
        </w:rPr>
        <w:t>Moody’s</w:t>
      </w:r>
      <w:r w:rsidR="009D64D2">
        <w:t xml:space="preserve"> </w:t>
      </w:r>
      <w:r w:rsidR="00B500EE" w:rsidRPr="006F51A7">
        <w:t xml:space="preserve">suteiktą </w:t>
      </w:r>
      <w:r w:rsidR="00BC429E">
        <w:t xml:space="preserve">ne žemesnį kaip A3 </w:t>
      </w:r>
      <w:r w:rsidR="00B500EE" w:rsidRPr="006F51A7">
        <w:t>galiojantį ilgalaikį investicinį reitingą</w:t>
      </w:r>
      <w:r w:rsidR="00BC429E">
        <w:t xml:space="preserve"> </w:t>
      </w:r>
      <w:r w:rsidR="00B500EE" w:rsidRPr="006F51A7">
        <w:rPr>
          <w:rFonts w:eastAsia="Calibri"/>
          <w:lang w:eastAsia="en-US"/>
        </w:rPr>
        <w:t xml:space="preserve">arba </w:t>
      </w:r>
      <w:r w:rsidR="00F63CE7" w:rsidRPr="00F63CE7">
        <w:rPr>
          <w:rFonts w:eastAsia="Calibri"/>
          <w:lang w:eastAsia="en-US"/>
        </w:rPr>
        <w:t xml:space="preserve">tarptautinės kredito reitingų agentūros </w:t>
      </w:r>
      <w:r w:rsidR="009D64D2" w:rsidRPr="006F51A7">
        <w:rPr>
          <w:i/>
        </w:rPr>
        <w:t>Standard &amp; Poor</w:t>
      </w:r>
      <w:r w:rsidR="009D64D2">
        <w:rPr>
          <w:i/>
        </w:rPr>
        <w:t>’</w:t>
      </w:r>
      <w:r w:rsidR="009D64D2" w:rsidRPr="006F51A7">
        <w:rPr>
          <w:i/>
        </w:rPr>
        <w:t>s</w:t>
      </w:r>
      <w:r w:rsidR="00B61A81" w:rsidRPr="006F51A7">
        <w:rPr>
          <w:i/>
        </w:rPr>
        <w:t xml:space="preserve"> </w:t>
      </w:r>
      <w:r w:rsidR="00B61A81" w:rsidRPr="00BC429E">
        <w:t>(</w:t>
      </w:r>
      <w:r w:rsidRPr="006F51A7">
        <w:t>toliau</w:t>
      </w:r>
      <w:r w:rsidRPr="006F51A7">
        <w:rPr>
          <w:i/>
        </w:rPr>
        <w:t xml:space="preserve"> </w:t>
      </w:r>
      <w:r w:rsidR="000F6AA4" w:rsidRPr="00C115D7">
        <w:t>–</w:t>
      </w:r>
      <w:r w:rsidRPr="006F51A7">
        <w:rPr>
          <w:i/>
        </w:rPr>
        <w:t xml:space="preserve"> </w:t>
      </w:r>
      <w:r w:rsidR="00B61A81" w:rsidRPr="006F51A7">
        <w:rPr>
          <w:i/>
        </w:rPr>
        <w:t>S&amp;P</w:t>
      </w:r>
      <w:r w:rsidR="00B61A81" w:rsidRPr="00BC429E">
        <w:t>)</w:t>
      </w:r>
      <w:r w:rsidR="006E1F57" w:rsidRPr="00BC429E">
        <w:t xml:space="preserve"> </w:t>
      </w:r>
      <w:r w:rsidR="006E1F57" w:rsidRPr="006F51A7">
        <w:t xml:space="preserve">ar </w:t>
      </w:r>
      <w:r w:rsidR="006E1F57" w:rsidRPr="006F51A7">
        <w:rPr>
          <w:i/>
        </w:rPr>
        <w:t>Fitch Ratings</w:t>
      </w:r>
      <w:r w:rsidR="006E1F57" w:rsidRPr="006F51A7">
        <w:t xml:space="preserve"> </w:t>
      </w:r>
      <w:r w:rsidR="000F6AA4">
        <w:rPr>
          <w:rFonts w:eastAsia="Calibri"/>
          <w:lang w:eastAsia="en-US"/>
        </w:rPr>
        <w:t xml:space="preserve">suteiktą A– </w:t>
      </w:r>
      <w:r w:rsidR="00B500EE" w:rsidRPr="006F51A7">
        <w:t>galiojantį ilgalaikį investicinį reitingą.</w:t>
      </w:r>
      <w:r w:rsidR="00B500EE" w:rsidRPr="006F51A7">
        <w:rPr>
          <w:rFonts w:eastAsia="Calibri"/>
          <w:lang w:eastAsia="en-US"/>
        </w:rPr>
        <w:t xml:space="preserve"> </w:t>
      </w:r>
      <w:r w:rsidR="00491902">
        <w:rPr>
          <w:rFonts w:eastAsia="Calibri"/>
          <w:lang w:eastAsia="en-US"/>
        </w:rPr>
        <w:t>Jeigu</w:t>
      </w:r>
      <w:r w:rsidR="006E1F57" w:rsidRPr="006F51A7">
        <w:rPr>
          <w:rFonts w:eastAsia="Calibri"/>
          <w:lang w:eastAsia="en-US"/>
        </w:rPr>
        <w:t xml:space="preserve"> </w:t>
      </w:r>
      <w:r w:rsidR="006E1F57" w:rsidRPr="006F51A7">
        <w:t>Europos Sąjungos valstybės narės, Šveicarijos ir Europos ekonominės erdvės valstybės bankui ar jo filialui</w:t>
      </w:r>
      <w:r w:rsidR="006E1F57" w:rsidRPr="006F51A7">
        <w:rPr>
          <w:rFonts w:eastAsia="Calibri"/>
          <w:lang w:eastAsia="en-US"/>
        </w:rPr>
        <w:t xml:space="preserve"> </w:t>
      </w:r>
      <w:r w:rsidR="006E1F57" w:rsidRPr="006F51A7">
        <w:t xml:space="preserve">investicinis </w:t>
      </w:r>
      <w:r w:rsidR="006E1F57" w:rsidRPr="006F51A7">
        <w:rPr>
          <w:rFonts w:eastAsia="Calibri"/>
          <w:lang w:eastAsia="en-US"/>
        </w:rPr>
        <w:t>reitingas nesuteiktas, atsižvelgiama į patronuojančia</w:t>
      </w:r>
      <w:r w:rsidR="000F6AA4">
        <w:rPr>
          <w:rFonts w:eastAsia="Calibri"/>
          <w:lang w:eastAsia="en-US"/>
        </w:rPr>
        <w:t>ja</w:t>
      </w:r>
      <w:r w:rsidR="006E1F57" w:rsidRPr="006F51A7">
        <w:rPr>
          <w:rFonts w:eastAsia="Calibri"/>
          <w:lang w:eastAsia="en-US"/>
        </w:rPr>
        <w:t>m bankui suteiktą investicinį reitingą</w:t>
      </w:r>
      <w:r w:rsidRPr="006F51A7">
        <w:rPr>
          <w:rFonts w:eastAsia="Calibri"/>
          <w:lang w:eastAsia="en-US"/>
        </w:rPr>
        <w:t xml:space="preserve">. Į vieno tokio banko indėlius, lėšas sąskaitose gali būti investuojama ne daugiau kaip </w:t>
      </w:r>
      <w:r w:rsidR="004413E2" w:rsidRPr="006F51A7">
        <w:rPr>
          <w:rFonts w:eastAsia="Calibri"/>
          <w:lang w:eastAsia="en-US"/>
        </w:rPr>
        <w:t>3</w:t>
      </w:r>
      <w:r w:rsidRPr="006F51A7">
        <w:rPr>
          <w:rFonts w:eastAsia="Calibri"/>
          <w:lang w:eastAsia="en-US"/>
        </w:rPr>
        <w:t>0 proc</w:t>
      </w:r>
      <w:r w:rsidR="00916249" w:rsidRPr="006F51A7">
        <w:rPr>
          <w:rFonts w:eastAsia="Calibri"/>
          <w:lang w:eastAsia="en-US"/>
        </w:rPr>
        <w:t>entų</w:t>
      </w:r>
      <w:r w:rsidRPr="006F51A7">
        <w:rPr>
          <w:rFonts w:eastAsia="Calibri"/>
          <w:lang w:eastAsia="en-US"/>
        </w:rPr>
        <w:t xml:space="preserve"> visų </w:t>
      </w:r>
      <w:r w:rsidR="000F6AA4">
        <w:rPr>
          <w:rFonts w:eastAsia="Calibri"/>
          <w:lang w:eastAsia="en-US"/>
        </w:rPr>
        <w:t>Į</w:t>
      </w:r>
      <w:r w:rsidRPr="006F51A7">
        <w:rPr>
          <w:rFonts w:eastAsia="Calibri"/>
          <w:lang w:eastAsia="en-US"/>
        </w:rPr>
        <w:t>monės nuosavo kapitalo lėšų</w:t>
      </w:r>
      <w:r w:rsidR="000F6AA4">
        <w:rPr>
          <w:rFonts w:eastAsia="Calibri"/>
          <w:lang w:eastAsia="en-US"/>
        </w:rPr>
        <w:t>;</w:t>
      </w:r>
    </w:p>
    <w:p w14:paraId="4192C95E" w14:textId="77777777" w:rsidR="004413E2" w:rsidRDefault="004413E2" w:rsidP="001C2050">
      <w:pPr>
        <w:tabs>
          <w:tab w:val="left" w:pos="993"/>
        </w:tabs>
        <w:ind w:firstLine="992"/>
        <w:jc w:val="both"/>
        <w:rPr>
          <w:rFonts w:eastAsia="Calibri"/>
          <w:lang w:eastAsia="en-US"/>
        </w:rPr>
      </w:pPr>
      <w:r w:rsidRPr="006F51A7">
        <w:rPr>
          <w:rFonts w:eastAsia="Calibri"/>
          <w:lang w:eastAsia="en-US"/>
        </w:rPr>
        <w:t xml:space="preserve">8.2. </w:t>
      </w:r>
      <w:r w:rsidRPr="006F51A7">
        <w:t xml:space="preserve">Europos Sąjungos valstybių narių, Šveicarijos ir Europos ekonominės erdvės valstybių bankai ar jų filialai turi </w:t>
      </w:r>
      <w:r w:rsidR="000F6AA4">
        <w:t xml:space="preserve">tarptautinės kredito reitingų </w:t>
      </w:r>
      <w:r w:rsidRPr="006F51A7">
        <w:t xml:space="preserve">agentūros </w:t>
      </w:r>
      <w:r w:rsidR="009D64D2" w:rsidRPr="009D64D2">
        <w:rPr>
          <w:i/>
        </w:rPr>
        <w:t>Moody’s</w:t>
      </w:r>
      <w:r w:rsidR="009D64D2">
        <w:t xml:space="preserve"> </w:t>
      </w:r>
      <w:r w:rsidRPr="006F51A7">
        <w:t xml:space="preserve">suteiktą </w:t>
      </w:r>
      <w:r w:rsidR="000F6AA4">
        <w:t xml:space="preserve">ne mažesnį kaip Baa1 </w:t>
      </w:r>
      <w:r w:rsidRPr="006F51A7">
        <w:t xml:space="preserve">galiojantį ilgalaikį investicinį reitingą </w:t>
      </w:r>
      <w:r w:rsidRPr="006F51A7">
        <w:rPr>
          <w:rFonts w:eastAsia="Calibri"/>
          <w:lang w:eastAsia="en-US"/>
        </w:rPr>
        <w:t xml:space="preserve">arba </w:t>
      </w:r>
      <w:r w:rsidR="000F6AA4">
        <w:rPr>
          <w:rFonts w:eastAsia="Calibri"/>
          <w:lang w:eastAsia="en-US"/>
        </w:rPr>
        <w:t xml:space="preserve">tarptautinės kredito reitingų agentūros </w:t>
      </w:r>
      <w:r w:rsidRPr="006F51A7">
        <w:rPr>
          <w:i/>
        </w:rPr>
        <w:t>S&amp;P</w:t>
      </w:r>
      <w:r w:rsidRPr="006F51A7">
        <w:t xml:space="preserve"> ar </w:t>
      </w:r>
      <w:r w:rsidRPr="006F51A7">
        <w:rPr>
          <w:i/>
        </w:rPr>
        <w:t>Fitch Ratings</w:t>
      </w:r>
      <w:r w:rsidRPr="006F51A7">
        <w:t xml:space="preserve"> </w:t>
      </w:r>
      <w:r w:rsidRPr="006F51A7">
        <w:rPr>
          <w:rFonts w:eastAsia="Calibri"/>
          <w:lang w:eastAsia="en-US"/>
        </w:rPr>
        <w:t xml:space="preserve">suteiktą BBB+ </w:t>
      </w:r>
      <w:r w:rsidRPr="006F51A7">
        <w:t>galiojantį ilgalaikį investicinį reitingą.</w:t>
      </w:r>
      <w:r w:rsidRPr="006F51A7">
        <w:rPr>
          <w:rFonts w:eastAsia="Calibri"/>
          <w:lang w:eastAsia="en-US"/>
        </w:rPr>
        <w:t xml:space="preserve"> Į vieno tokio banko indėlius, lėšas sąskaitose gali būti investuojama ne daugiau kaip </w:t>
      </w:r>
      <w:r w:rsidR="008B085D">
        <w:rPr>
          <w:rFonts w:eastAsia="Calibri"/>
          <w:lang w:eastAsia="en-US"/>
        </w:rPr>
        <w:t>3</w:t>
      </w:r>
      <w:r w:rsidRPr="006F51A7">
        <w:rPr>
          <w:rFonts w:eastAsia="Calibri"/>
          <w:lang w:eastAsia="en-US"/>
        </w:rPr>
        <w:t>0 proc</w:t>
      </w:r>
      <w:r w:rsidR="00916249" w:rsidRPr="006F51A7">
        <w:rPr>
          <w:rFonts w:eastAsia="Calibri"/>
          <w:lang w:eastAsia="en-US"/>
        </w:rPr>
        <w:t>entų</w:t>
      </w:r>
      <w:r w:rsidRPr="006F51A7">
        <w:rPr>
          <w:rFonts w:eastAsia="Calibri"/>
          <w:lang w:eastAsia="en-US"/>
        </w:rPr>
        <w:t xml:space="preserve"> visų </w:t>
      </w:r>
      <w:r w:rsidR="000F6AA4">
        <w:rPr>
          <w:rFonts w:eastAsia="Calibri"/>
          <w:lang w:eastAsia="en-US"/>
        </w:rPr>
        <w:t>Į</w:t>
      </w:r>
      <w:r w:rsidRPr="006F51A7">
        <w:rPr>
          <w:rFonts w:eastAsia="Calibri"/>
          <w:lang w:eastAsia="en-US"/>
        </w:rPr>
        <w:t>monės nuosavo kapitalo lėšų, laikantis tokių sąlygų:</w:t>
      </w:r>
    </w:p>
    <w:p w14:paraId="3743F54A" w14:textId="77777777" w:rsidR="008B085D" w:rsidRPr="006F51A7" w:rsidRDefault="008B085D" w:rsidP="001C2050">
      <w:pPr>
        <w:tabs>
          <w:tab w:val="left" w:pos="993"/>
        </w:tabs>
        <w:ind w:firstLine="992"/>
        <w:jc w:val="both"/>
        <w:rPr>
          <w:rFonts w:eastAsia="Calibri"/>
          <w:lang w:eastAsia="en-US"/>
        </w:rPr>
      </w:pPr>
      <w:r w:rsidRPr="006F51A7">
        <w:rPr>
          <w:rFonts w:eastAsia="Calibri"/>
          <w:lang w:eastAsia="en-US"/>
        </w:rPr>
        <w:t xml:space="preserve">8.2.1. </w:t>
      </w:r>
      <w:r w:rsidRPr="008B085D">
        <w:rPr>
          <w:rFonts w:eastAsia="Calibri"/>
          <w:lang w:eastAsia="en-US"/>
        </w:rPr>
        <w:t>bankas turi vykdyti kapitalo pakankamumo reikalavimus</w:t>
      </w:r>
      <w:r w:rsidRPr="006F51A7">
        <w:rPr>
          <w:rFonts w:eastAsia="Calibri"/>
          <w:lang w:eastAsia="en-US"/>
        </w:rPr>
        <w:t>;</w:t>
      </w:r>
    </w:p>
    <w:p w14:paraId="4525DF11" w14:textId="77777777" w:rsidR="006E1F57" w:rsidRDefault="008B085D" w:rsidP="001C2050">
      <w:pPr>
        <w:tabs>
          <w:tab w:val="left" w:pos="993"/>
        </w:tabs>
        <w:ind w:firstLine="992"/>
        <w:jc w:val="both"/>
        <w:rPr>
          <w:rFonts w:eastAsia="Calibri"/>
          <w:lang w:eastAsia="en-US"/>
        </w:rPr>
      </w:pPr>
      <w:r w:rsidRPr="006F51A7">
        <w:rPr>
          <w:rFonts w:eastAsia="Calibri"/>
          <w:lang w:eastAsia="en-US"/>
        </w:rPr>
        <w:t>8.2.</w:t>
      </w:r>
      <w:r w:rsidRPr="008B085D">
        <w:rPr>
          <w:rFonts w:eastAsia="Calibri"/>
          <w:lang w:eastAsia="en-US"/>
        </w:rPr>
        <w:t>2</w:t>
      </w:r>
      <w:r w:rsidRPr="006F51A7">
        <w:rPr>
          <w:rFonts w:eastAsia="Calibri"/>
          <w:lang w:eastAsia="en-US"/>
        </w:rPr>
        <w:t>. bankai</w:t>
      </w:r>
      <w:r w:rsidR="002C7D44">
        <w:rPr>
          <w:rFonts w:eastAsia="Calibri"/>
          <w:lang w:eastAsia="en-US"/>
        </w:rPr>
        <w:t xml:space="preserve"> ar jų filialai</w:t>
      </w:r>
      <w:r w:rsidRPr="006F51A7">
        <w:rPr>
          <w:rFonts w:eastAsia="Calibri"/>
          <w:lang w:eastAsia="en-US"/>
        </w:rPr>
        <w:t xml:space="preserve">, nurodyti </w:t>
      </w:r>
      <w:r>
        <w:rPr>
          <w:rFonts w:eastAsia="Calibri"/>
          <w:lang w:eastAsia="en-US"/>
        </w:rPr>
        <w:t xml:space="preserve">Aprašo </w:t>
      </w:r>
      <w:r w:rsidRPr="006F51A7">
        <w:rPr>
          <w:rFonts w:eastAsia="Calibri"/>
          <w:lang w:eastAsia="en-US"/>
        </w:rPr>
        <w:t xml:space="preserve">8.1 </w:t>
      </w:r>
      <w:r>
        <w:rPr>
          <w:rFonts w:eastAsia="Calibri"/>
          <w:lang w:eastAsia="en-US"/>
        </w:rPr>
        <w:t>pa</w:t>
      </w:r>
      <w:r w:rsidRPr="006F51A7">
        <w:rPr>
          <w:rFonts w:eastAsia="Calibri"/>
          <w:lang w:eastAsia="en-US"/>
        </w:rPr>
        <w:t>punkt</w:t>
      </w:r>
      <w:r>
        <w:rPr>
          <w:rFonts w:eastAsia="Calibri"/>
          <w:lang w:eastAsia="en-US"/>
        </w:rPr>
        <w:t>yje,</w:t>
      </w:r>
      <w:r w:rsidRPr="006F51A7">
        <w:rPr>
          <w:rFonts w:eastAsia="Calibri"/>
          <w:lang w:eastAsia="en-US"/>
        </w:rPr>
        <w:t xml:space="preserve"> taiko neigiam</w:t>
      </w:r>
      <w:r w:rsidR="00491902">
        <w:rPr>
          <w:rFonts w:eastAsia="Calibri"/>
          <w:lang w:eastAsia="en-US"/>
        </w:rPr>
        <w:t xml:space="preserve">ą </w:t>
      </w:r>
      <w:r w:rsidRPr="006F51A7">
        <w:rPr>
          <w:rFonts w:eastAsia="Calibri"/>
          <w:lang w:eastAsia="en-US"/>
        </w:rPr>
        <w:t>palūkan</w:t>
      </w:r>
      <w:r w:rsidR="00491902">
        <w:rPr>
          <w:rFonts w:eastAsia="Calibri"/>
          <w:lang w:eastAsia="en-US"/>
        </w:rPr>
        <w:t>ų normą</w:t>
      </w:r>
      <w:r w:rsidRPr="006F51A7">
        <w:rPr>
          <w:rFonts w:eastAsia="Calibri"/>
          <w:lang w:eastAsia="en-US"/>
        </w:rPr>
        <w:t xml:space="preserve"> arba palūkanų nemoka</w:t>
      </w:r>
      <w:r w:rsidR="00C25042">
        <w:rPr>
          <w:rFonts w:eastAsia="Calibri"/>
          <w:lang w:eastAsia="en-US"/>
        </w:rPr>
        <w:t>;</w:t>
      </w:r>
    </w:p>
    <w:p w14:paraId="58EB5814" w14:textId="77777777" w:rsidR="00D13D4D" w:rsidRDefault="00D13D4D" w:rsidP="001C2050">
      <w:pPr>
        <w:tabs>
          <w:tab w:val="left" w:pos="993"/>
        </w:tabs>
        <w:ind w:firstLine="9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8.2.3. </w:t>
      </w:r>
      <w:r>
        <w:rPr>
          <w:rFonts w:eastAsia="Calibri"/>
          <w:color w:val="000000"/>
        </w:rPr>
        <w:t xml:space="preserve">už lėšų laikymą banko </w:t>
      </w:r>
      <w:r w:rsidR="00AA119C">
        <w:rPr>
          <w:rFonts w:eastAsia="Calibri"/>
          <w:color w:val="000000"/>
        </w:rPr>
        <w:t>ar j</w:t>
      </w:r>
      <w:r w:rsidR="002C7D44">
        <w:rPr>
          <w:rFonts w:eastAsia="Calibri"/>
          <w:color w:val="000000"/>
        </w:rPr>
        <w:t>o</w:t>
      </w:r>
      <w:r w:rsidR="00AA119C">
        <w:rPr>
          <w:rFonts w:eastAsia="Calibri"/>
          <w:color w:val="000000"/>
        </w:rPr>
        <w:t xml:space="preserve"> filialų </w:t>
      </w:r>
      <w:r>
        <w:rPr>
          <w:rFonts w:eastAsia="Calibri"/>
          <w:color w:val="000000"/>
        </w:rPr>
        <w:t>sąskaitose netaikomos neigiamos palūkan</w:t>
      </w:r>
      <w:r w:rsidR="002C7D44">
        <w:rPr>
          <w:rFonts w:eastAsia="Calibri"/>
          <w:color w:val="000000"/>
        </w:rPr>
        <w:t>ų normos</w:t>
      </w:r>
      <w:r>
        <w:rPr>
          <w:rFonts w:eastAsia="Calibri"/>
          <w:color w:val="000000"/>
        </w:rPr>
        <w:t xml:space="preserve"> arba, jei neigiamos palūkan</w:t>
      </w:r>
      <w:r w:rsidR="002C7D44">
        <w:rPr>
          <w:rFonts w:eastAsia="Calibri"/>
          <w:color w:val="000000"/>
        </w:rPr>
        <w:t>ų normos taikomos</w:t>
      </w:r>
      <w:r>
        <w:rPr>
          <w:rFonts w:eastAsia="Calibri"/>
          <w:color w:val="000000"/>
        </w:rPr>
        <w:t xml:space="preserve">, jos yra 20 bazinių punktų didesnės negu </w:t>
      </w:r>
      <w:r w:rsidR="002C7D44">
        <w:rPr>
          <w:rFonts w:eastAsia="Calibri"/>
          <w:color w:val="000000"/>
        </w:rPr>
        <w:t xml:space="preserve">Aprašo </w:t>
      </w:r>
      <w:r>
        <w:rPr>
          <w:rFonts w:eastAsia="Calibri"/>
          <w:color w:val="000000"/>
        </w:rPr>
        <w:t>8.1 papunktyje nu</w:t>
      </w:r>
      <w:r w:rsidR="002C7D44">
        <w:rPr>
          <w:rFonts w:eastAsia="Calibri"/>
          <w:color w:val="000000"/>
        </w:rPr>
        <w:t>rodytų</w:t>
      </w:r>
      <w:r>
        <w:rPr>
          <w:rFonts w:eastAsia="Calibri"/>
          <w:color w:val="000000"/>
        </w:rPr>
        <w:t xml:space="preserve"> bankų </w:t>
      </w:r>
      <w:r w:rsidR="002C7D44">
        <w:rPr>
          <w:rFonts w:eastAsia="Calibri"/>
          <w:color w:val="000000"/>
        </w:rPr>
        <w:t>ar jų filialų</w:t>
      </w:r>
      <w:r w:rsidR="00AA119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ar</w:t>
      </w:r>
      <w:r w:rsidR="002C7D44">
        <w:rPr>
          <w:rFonts w:eastAsia="Calibri"/>
          <w:color w:val="000000"/>
        </w:rPr>
        <w:t>ba</w:t>
      </w:r>
      <w:r>
        <w:rPr>
          <w:rFonts w:eastAsia="Calibri"/>
          <w:color w:val="000000"/>
        </w:rPr>
        <w:t xml:space="preserve"> Lietuvos banko.</w:t>
      </w:r>
    </w:p>
    <w:p w14:paraId="579EED5A" w14:textId="77777777" w:rsidR="003B3A78" w:rsidRPr="008B085D" w:rsidRDefault="00AD22AB" w:rsidP="001C2050">
      <w:pPr>
        <w:tabs>
          <w:tab w:val="left" w:pos="993"/>
        </w:tabs>
        <w:ind w:firstLine="99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="00F470FB">
        <w:rPr>
          <w:rFonts w:eastAsia="Calibri"/>
          <w:lang w:eastAsia="en-US"/>
        </w:rPr>
        <w:t xml:space="preserve">  </w:t>
      </w:r>
      <w:r w:rsidR="004B5032">
        <w:rPr>
          <w:rFonts w:eastAsia="Calibri"/>
          <w:lang w:eastAsia="en-US"/>
        </w:rPr>
        <w:t>Investuojant į</w:t>
      </w:r>
      <w:r w:rsidR="00F470FB">
        <w:rPr>
          <w:rFonts w:eastAsia="Calibri"/>
          <w:lang w:eastAsia="en-US"/>
        </w:rPr>
        <w:t xml:space="preserve"> indėlius ir lėšas sąskaitoje Lietuvos banke </w:t>
      </w:r>
      <w:r w:rsidR="00324004">
        <w:rPr>
          <w:rFonts w:eastAsia="Calibri"/>
          <w:lang w:eastAsia="en-US"/>
        </w:rPr>
        <w:t xml:space="preserve">Aprašo </w:t>
      </w:r>
      <w:r w:rsidR="00792DB4">
        <w:rPr>
          <w:rFonts w:eastAsia="Calibri"/>
          <w:lang w:eastAsia="en-US"/>
        </w:rPr>
        <w:t xml:space="preserve">8 punkte nurodyti </w:t>
      </w:r>
      <w:r w:rsidR="004B5032">
        <w:rPr>
          <w:rFonts w:eastAsia="Calibri"/>
          <w:lang w:eastAsia="en-US"/>
        </w:rPr>
        <w:t>apribojimai netaikomi</w:t>
      </w:r>
      <w:r w:rsidR="00F470FB">
        <w:rPr>
          <w:rFonts w:eastAsia="Calibri"/>
          <w:lang w:eastAsia="en-US"/>
        </w:rPr>
        <w:t>.</w:t>
      </w:r>
    </w:p>
    <w:p w14:paraId="070479BA" w14:textId="77777777" w:rsidR="006E1F57" w:rsidRPr="006F51A7" w:rsidRDefault="00AD22AB" w:rsidP="001C2050">
      <w:pPr>
        <w:tabs>
          <w:tab w:val="left" w:pos="993"/>
        </w:tabs>
        <w:ind w:firstLine="992"/>
        <w:jc w:val="both"/>
      </w:pPr>
      <w:r>
        <w:t>10</w:t>
      </w:r>
      <w:r w:rsidR="004413E2" w:rsidRPr="006F51A7">
        <w:t>.</w:t>
      </w:r>
      <w:r w:rsidR="006E1F57" w:rsidRPr="006F51A7">
        <w:t xml:space="preserve"> </w:t>
      </w:r>
      <w:r w:rsidR="00D21150">
        <w:t>Į</w:t>
      </w:r>
      <w:r w:rsidR="006E1F57" w:rsidRPr="006F51A7">
        <w:t xml:space="preserve">monės nuosavo kapitalo </w:t>
      </w:r>
      <w:r w:rsidR="00B61A81" w:rsidRPr="006F51A7">
        <w:t>lėšos gali būti investuojamos</w:t>
      </w:r>
      <w:r w:rsidR="006E1F57" w:rsidRPr="006F51A7">
        <w:t xml:space="preserve"> į vyriausybių vertybinius popierius eurais</w:t>
      </w:r>
      <w:r w:rsidR="007673DC" w:rsidRPr="006F51A7">
        <w:t>,</w:t>
      </w:r>
      <w:r w:rsidR="00B61A81" w:rsidRPr="006F51A7">
        <w:t xml:space="preserve"> jeigu</w:t>
      </w:r>
      <w:r w:rsidR="006E1F57" w:rsidRPr="006F51A7">
        <w:t>:</w:t>
      </w:r>
    </w:p>
    <w:p w14:paraId="51BE9ADA" w14:textId="77777777" w:rsidR="006E1F57" w:rsidRPr="006F51A7" w:rsidRDefault="00AD22AB" w:rsidP="001C2050">
      <w:pPr>
        <w:tabs>
          <w:tab w:val="left" w:pos="993"/>
        </w:tabs>
        <w:ind w:firstLine="992"/>
        <w:jc w:val="both"/>
      </w:pPr>
      <w:r>
        <w:t>10</w:t>
      </w:r>
      <w:r w:rsidR="006E1F57" w:rsidRPr="006F51A7">
        <w:t xml:space="preserve">.1. vyriausybių vertybiniai popieriai </w:t>
      </w:r>
      <w:r w:rsidR="00B61A81" w:rsidRPr="006F51A7">
        <w:t>yra</w:t>
      </w:r>
      <w:r w:rsidR="006E1F57" w:rsidRPr="006F51A7">
        <w:t xml:space="preserve"> fiksuoto pajamingumo:</w:t>
      </w:r>
    </w:p>
    <w:p w14:paraId="18478593" w14:textId="77777777" w:rsidR="006E1F57" w:rsidRPr="006F51A7" w:rsidRDefault="00AD22AB" w:rsidP="001C2050">
      <w:pPr>
        <w:tabs>
          <w:tab w:val="left" w:pos="993"/>
        </w:tabs>
        <w:ind w:firstLine="992"/>
        <w:jc w:val="both"/>
      </w:pPr>
      <w:r>
        <w:t>10</w:t>
      </w:r>
      <w:r w:rsidR="00AD4669" w:rsidRPr="006F51A7">
        <w:t>.</w:t>
      </w:r>
      <w:r w:rsidR="006E1F57" w:rsidRPr="006F51A7">
        <w:t>1.1. Lietuvos Respublikos Vyriausybės vertybiniai popieriai;</w:t>
      </w:r>
    </w:p>
    <w:p w14:paraId="0ADC0CDB" w14:textId="77777777" w:rsidR="006E1F57" w:rsidRPr="006F51A7" w:rsidRDefault="00AD22AB" w:rsidP="001C2050">
      <w:pPr>
        <w:tabs>
          <w:tab w:val="left" w:pos="993"/>
        </w:tabs>
        <w:ind w:firstLine="992"/>
        <w:jc w:val="both"/>
      </w:pPr>
      <w:r>
        <w:t>10</w:t>
      </w:r>
      <w:r w:rsidR="00AD4669" w:rsidRPr="006F51A7">
        <w:t>.</w:t>
      </w:r>
      <w:r w:rsidR="006E1F57" w:rsidRPr="006F51A7">
        <w:t xml:space="preserve">1.2. kitų Europos Sąjungos valstybių narių, Šveicarijos ir Europos ekonominės erdvės valstybių, kurioms </w:t>
      </w:r>
      <w:r w:rsidR="00D21150">
        <w:t xml:space="preserve">tarptautinė kredito reitingų agentūra </w:t>
      </w:r>
      <w:r w:rsidR="006E1F57" w:rsidRPr="006F51A7">
        <w:rPr>
          <w:i/>
        </w:rPr>
        <w:t xml:space="preserve">Fitch Ratings </w:t>
      </w:r>
      <w:r w:rsidR="006E1F57" w:rsidRPr="006F51A7">
        <w:t>ar</w:t>
      </w:r>
      <w:r w:rsidR="006E1F57" w:rsidRPr="006F51A7">
        <w:rPr>
          <w:i/>
        </w:rPr>
        <w:t xml:space="preserve"> S&amp;P</w:t>
      </w:r>
      <w:r w:rsidR="006E1F57" w:rsidRPr="006F51A7">
        <w:t xml:space="preserve"> </w:t>
      </w:r>
      <w:r w:rsidR="00D21150">
        <w:t>yra suteikusi</w:t>
      </w:r>
      <w:r w:rsidR="006E1F57" w:rsidRPr="006F51A7">
        <w:t xml:space="preserve"> ne </w:t>
      </w:r>
      <w:r w:rsidR="00810EE4" w:rsidRPr="006F51A7">
        <w:t>žemesn</w:t>
      </w:r>
      <w:r w:rsidR="00D21150">
        <w:t>į</w:t>
      </w:r>
      <w:r w:rsidR="006E1F57" w:rsidRPr="006F51A7">
        <w:t xml:space="preserve"> kaip </w:t>
      </w:r>
      <w:r w:rsidR="00D21150" w:rsidRPr="00983FD5">
        <w:t>A</w:t>
      </w:r>
      <w:r w:rsidR="00D21150">
        <w:t xml:space="preserve">– </w:t>
      </w:r>
      <w:r w:rsidR="00D21150" w:rsidRPr="00983FD5">
        <w:t>galiojant</w:t>
      </w:r>
      <w:r w:rsidR="00D21150">
        <w:t>į ilgalaikį investicinį reitingą</w:t>
      </w:r>
      <w:r w:rsidR="00D21150" w:rsidRPr="00B02BE9">
        <w:t xml:space="preserve"> ar</w:t>
      </w:r>
      <w:r w:rsidR="00D21150">
        <w:t xml:space="preserve">ba tarptautinė kredito reitingų agentūra </w:t>
      </w:r>
      <w:r w:rsidR="009D64D2" w:rsidRPr="009D64D2">
        <w:rPr>
          <w:i/>
        </w:rPr>
        <w:t xml:space="preserve">Moody’s </w:t>
      </w:r>
      <w:r w:rsidR="00D21150">
        <w:t>yra suteikusi</w:t>
      </w:r>
      <w:r w:rsidR="00D21150" w:rsidRPr="00983FD5">
        <w:t xml:space="preserve"> </w:t>
      </w:r>
      <w:r w:rsidR="00D21150">
        <w:t xml:space="preserve">ne žemesnį kaip </w:t>
      </w:r>
      <w:r w:rsidR="00D21150" w:rsidRPr="00C66244">
        <w:t>A3</w:t>
      </w:r>
      <w:r w:rsidR="00D21150">
        <w:t xml:space="preserve"> </w:t>
      </w:r>
      <w:r w:rsidR="00D21150" w:rsidRPr="00983FD5">
        <w:t>galiojant</w:t>
      </w:r>
      <w:r w:rsidR="00D21150">
        <w:t>į ilgalaikį investicinį reitingą, vyriausybių vertybiniai popieriai</w:t>
      </w:r>
      <w:r w:rsidR="006E1F57" w:rsidRPr="006F51A7">
        <w:t>;</w:t>
      </w:r>
    </w:p>
    <w:p w14:paraId="36E5E6BB" w14:textId="77777777" w:rsidR="00D21150" w:rsidRDefault="00AD22AB" w:rsidP="001C2050">
      <w:pPr>
        <w:tabs>
          <w:tab w:val="left" w:pos="993"/>
        </w:tabs>
        <w:ind w:firstLine="992"/>
        <w:jc w:val="both"/>
      </w:pPr>
      <w:r>
        <w:t>10</w:t>
      </w:r>
      <w:r w:rsidR="00AD4669" w:rsidRPr="006F51A7">
        <w:t>.</w:t>
      </w:r>
      <w:r w:rsidR="006E1F57" w:rsidRPr="006F51A7">
        <w:t xml:space="preserve">1.3. </w:t>
      </w:r>
      <w:r w:rsidR="00E075A6" w:rsidRPr="006F51A7">
        <w:t xml:space="preserve">Aprašo </w:t>
      </w:r>
      <w:r>
        <w:t>10</w:t>
      </w:r>
      <w:r w:rsidR="00E075A6" w:rsidRPr="006F51A7">
        <w:t>.1.1 ir</w:t>
      </w:r>
      <w:r w:rsidR="0025091F" w:rsidRPr="006F51A7">
        <w:t xml:space="preserve"> </w:t>
      </w:r>
      <w:r>
        <w:t>10</w:t>
      </w:r>
      <w:r w:rsidR="00AD4669" w:rsidRPr="006F51A7">
        <w:t>.</w:t>
      </w:r>
      <w:r w:rsidR="006E1F57" w:rsidRPr="006F51A7">
        <w:t>1.2 papunkčiuose</w:t>
      </w:r>
      <w:r w:rsidR="00D21150" w:rsidRPr="00D77D63">
        <w:t xml:space="preserve"> </w:t>
      </w:r>
      <w:r w:rsidR="00D21150">
        <w:t xml:space="preserve">nenurodytų kitų valstybių, kurioms tarptautinė kredito reitingų agentūra </w:t>
      </w:r>
      <w:r w:rsidR="00D21150" w:rsidRPr="00E81055">
        <w:rPr>
          <w:i/>
        </w:rPr>
        <w:t>Fitch Ratings</w:t>
      </w:r>
      <w:r w:rsidR="00D21150">
        <w:rPr>
          <w:i/>
        </w:rPr>
        <w:t xml:space="preserve"> </w:t>
      </w:r>
      <w:r w:rsidR="00D21150">
        <w:t>ar</w:t>
      </w:r>
      <w:r w:rsidR="00D21150">
        <w:rPr>
          <w:i/>
        </w:rPr>
        <w:t xml:space="preserve"> </w:t>
      </w:r>
      <w:r w:rsidR="00D21150" w:rsidRPr="00E81055">
        <w:rPr>
          <w:i/>
        </w:rPr>
        <w:t>S&amp;P</w:t>
      </w:r>
      <w:r w:rsidR="00D21150" w:rsidRPr="00B02BE9">
        <w:t xml:space="preserve"> </w:t>
      </w:r>
      <w:r w:rsidR="00D21150">
        <w:t xml:space="preserve">yra suteikusi </w:t>
      </w:r>
      <w:r w:rsidR="00D21150" w:rsidRPr="00983FD5">
        <w:t xml:space="preserve">ne </w:t>
      </w:r>
      <w:r w:rsidR="00D21150">
        <w:t>žemesnį</w:t>
      </w:r>
      <w:r w:rsidR="00D21150" w:rsidRPr="00983FD5">
        <w:t xml:space="preserve"> kaip A</w:t>
      </w:r>
      <w:r w:rsidR="00D21150">
        <w:t xml:space="preserve">A– </w:t>
      </w:r>
      <w:r w:rsidR="00D21150" w:rsidRPr="00983FD5">
        <w:t>galiojant</w:t>
      </w:r>
      <w:r w:rsidR="00D21150">
        <w:t>į ilgalaikį investicinį reitingą</w:t>
      </w:r>
      <w:r w:rsidR="00D21150" w:rsidRPr="00B02BE9">
        <w:t xml:space="preserve"> ar</w:t>
      </w:r>
      <w:r w:rsidR="00D21150">
        <w:t>ba</w:t>
      </w:r>
      <w:r w:rsidR="00D21150" w:rsidRPr="00B02BE9">
        <w:t xml:space="preserve"> </w:t>
      </w:r>
      <w:r w:rsidR="00D21150">
        <w:t xml:space="preserve">tarptautinė kredito reitingų agentūra </w:t>
      </w:r>
      <w:r w:rsidR="009D64D2" w:rsidRPr="009D64D2">
        <w:rPr>
          <w:i/>
        </w:rPr>
        <w:t xml:space="preserve">Moody’s </w:t>
      </w:r>
      <w:r w:rsidR="00D21150">
        <w:t>yra suteikusi</w:t>
      </w:r>
      <w:r w:rsidR="00D21150" w:rsidRPr="00983FD5">
        <w:t xml:space="preserve"> </w:t>
      </w:r>
      <w:r w:rsidR="00D21150">
        <w:t xml:space="preserve">ne žemesnį kaip </w:t>
      </w:r>
      <w:r w:rsidR="00D21150" w:rsidRPr="00C66244">
        <w:t>A</w:t>
      </w:r>
      <w:r w:rsidR="00D21150">
        <w:t>a</w:t>
      </w:r>
      <w:r w:rsidR="00D21150" w:rsidRPr="00C66244">
        <w:t>3</w:t>
      </w:r>
      <w:r w:rsidR="00D21150">
        <w:t xml:space="preserve"> </w:t>
      </w:r>
      <w:r w:rsidR="00D21150" w:rsidRPr="00983FD5">
        <w:t>galiojant</w:t>
      </w:r>
      <w:r w:rsidR="00D21150">
        <w:t>į ilgalaikį investicinį reitingą, vyriausybių vertybiniai popieriai;</w:t>
      </w:r>
    </w:p>
    <w:p w14:paraId="2CD15E1D" w14:textId="77777777" w:rsidR="00916249" w:rsidRPr="006F51A7" w:rsidRDefault="00AD22AB" w:rsidP="001C2050">
      <w:pPr>
        <w:tabs>
          <w:tab w:val="left" w:pos="993"/>
        </w:tabs>
        <w:ind w:firstLine="992"/>
        <w:jc w:val="both"/>
      </w:pPr>
      <w:r>
        <w:t>10</w:t>
      </w:r>
      <w:r w:rsidR="00916249" w:rsidRPr="006F51A7">
        <w:t xml:space="preserve">.2. </w:t>
      </w:r>
      <w:r w:rsidR="00D21150">
        <w:t>Į</w:t>
      </w:r>
      <w:r w:rsidR="00916249" w:rsidRPr="006F51A7">
        <w:t>monės nuosavo kap</w:t>
      </w:r>
      <w:r w:rsidR="00540C29" w:rsidRPr="006F51A7">
        <w:t>i</w:t>
      </w:r>
      <w:r w:rsidR="00916249" w:rsidRPr="006F51A7">
        <w:t xml:space="preserve">talo lėšas </w:t>
      </w:r>
      <w:r w:rsidR="00491902" w:rsidRPr="006F51A7">
        <w:t xml:space="preserve">investuojant </w:t>
      </w:r>
      <w:r w:rsidR="00916249" w:rsidRPr="006F51A7">
        <w:t>į vyriausybių vertybinius popierius, laikomasi šių apribojimų pagal subjektus:</w:t>
      </w:r>
    </w:p>
    <w:p w14:paraId="771451A1" w14:textId="77777777" w:rsidR="00D21150" w:rsidRPr="00D21150" w:rsidRDefault="00AD22AB" w:rsidP="001C2050">
      <w:pPr>
        <w:tabs>
          <w:tab w:val="left" w:pos="993"/>
        </w:tabs>
        <w:ind w:firstLine="992"/>
        <w:jc w:val="both"/>
        <w:rPr>
          <w:lang w:val="en-US"/>
        </w:rPr>
      </w:pPr>
      <w:r>
        <w:lastRenderedPageBreak/>
        <w:t>10</w:t>
      </w:r>
      <w:r w:rsidR="00D21150" w:rsidRPr="00D21150">
        <w:t xml:space="preserve">.2.1. įsigijus Europos Sąjungos valstybių narių, Šveicarijos ir Europos ekonominės erdvės valstybių, kurioms tarptautinė kredito reitingų agentūra </w:t>
      </w:r>
      <w:r w:rsidR="00D21150" w:rsidRPr="00D21150">
        <w:rPr>
          <w:i/>
        </w:rPr>
        <w:t>S&amp;P</w:t>
      </w:r>
      <w:r w:rsidR="00D21150" w:rsidRPr="00D21150">
        <w:t xml:space="preserve"> ar </w:t>
      </w:r>
      <w:r w:rsidR="00D21150" w:rsidRPr="00D21150">
        <w:rPr>
          <w:i/>
        </w:rPr>
        <w:t xml:space="preserve">Fitch Ratings </w:t>
      </w:r>
      <w:r w:rsidR="00D21150" w:rsidRPr="00D21150">
        <w:t xml:space="preserve">yra suteikusi ne žemesnį kaip A– galiojantį ilgalaikį investicinį reitingą arba tarptautinė kredito reitingų agentūra </w:t>
      </w:r>
      <w:r w:rsidR="009D64D2" w:rsidRPr="009D64D2">
        <w:rPr>
          <w:i/>
        </w:rPr>
        <w:t>Moody’s</w:t>
      </w:r>
      <w:r w:rsidR="009D64D2">
        <w:t xml:space="preserve"> </w:t>
      </w:r>
      <w:r w:rsidR="00D21150" w:rsidRPr="00D21150">
        <w:t xml:space="preserve">yra suteikusi ne žemesnį kaip A3 galiojantį ilgalaikį investicinį reitingą, vyriausybių vertybinių popierių, vieno iš emitento vertybiniai popieriai gali sudaryti ne daugiau </w:t>
      </w:r>
      <w:r w:rsidR="00EA3C8B">
        <w:t>kaip</w:t>
      </w:r>
      <w:r w:rsidR="00D21150" w:rsidRPr="00D21150">
        <w:t xml:space="preserve"> 30</w:t>
      </w:r>
      <w:r w:rsidR="00BC445A">
        <w:t> </w:t>
      </w:r>
      <w:r w:rsidR="00D21150" w:rsidRPr="00D21150">
        <w:t>procentų Įmonės nuosavo kapitalo;</w:t>
      </w:r>
    </w:p>
    <w:p w14:paraId="618C782F" w14:textId="77777777" w:rsidR="006E1F57" w:rsidRPr="006F51A7" w:rsidRDefault="00AD22AB" w:rsidP="001C2050">
      <w:pPr>
        <w:tabs>
          <w:tab w:val="left" w:pos="993"/>
        </w:tabs>
        <w:ind w:firstLine="992"/>
        <w:jc w:val="both"/>
      </w:pPr>
      <w:r>
        <w:t>10</w:t>
      </w:r>
      <w:r w:rsidR="00916249" w:rsidRPr="006F51A7">
        <w:t>.2.2.</w:t>
      </w:r>
      <w:r w:rsidR="006E1F57" w:rsidRPr="006F51A7">
        <w:t xml:space="preserve"> </w:t>
      </w:r>
      <w:r w:rsidR="006B6E8E" w:rsidRPr="006F51A7">
        <w:t xml:space="preserve">įsigijus </w:t>
      </w:r>
      <w:r w:rsidR="006E1F57" w:rsidRPr="006F51A7">
        <w:t>kit</w:t>
      </w:r>
      <w:r w:rsidR="00E075A6" w:rsidRPr="006F51A7">
        <w:t xml:space="preserve">ų valstybių, nurodytų Aprašo </w:t>
      </w:r>
      <w:r>
        <w:t>10</w:t>
      </w:r>
      <w:r w:rsidR="008330BA" w:rsidRPr="006F51A7">
        <w:t>.1.</w:t>
      </w:r>
      <w:r w:rsidR="00B02BE0" w:rsidRPr="006F51A7">
        <w:t>3</w:t>
      </w:r>
      <w:r w:rsidR="008330BA" w:rsidRPr="006F51A7">
        <w:t xml:space="preserve"> </w:t>
      </w:r>
      <w:r w:rsidR="006E1F57" w:rsidRPr="006F51A7">
        <w:t>papun</w:t>
      </w:r>
      <w:r w:rsidR="006B6E8E" w:rsidRPr="006F51A7">
        <w:t>k</w:t>
      </w:r>
      <w:r w:rsidR="008330BA" w:rsidRPr="006F51A7">
        <w:t>tyje</w:t>
      </w:r>
      <w:r w:rsidR="006B6E8E" w:rsidRPr="006F51A7">
        <w:t>, vyriausybių vertybinių popierių, jie</w:t>
      </w:r>
      <w:r w:rsidR="006E1F57" w:rsidRPr="006F51A7">
        <w:t xml:space="preserve"> </w:t>
      </w:r>
      <w:r w:rsidR="008330BA" w:rsidRPr="006F51A7">
        <w:t xml:space="preserve">gali </w:t>
      </w:r>
      <w:r w:rsidR="006E1F57" w:rsidRPr="006F51A7">
        <w:t xml:space="preserve">sudaryti </w:t>
      </w:r>
      <w:r w:rsidR="006B6E8E" w:rsidRPr="006F51A7">
        <w:t xml:space="preserve">ne </w:t>
      </w:r>
      <w:r w:rsidR="006E1F57" w:rsidRPr="006F51A7">
        <w:t xml:space="preserve">daugiau </w:t>
      </w:r>
      <w:r w:rsidR="00EA3C8B">
        <w:t xml:space="preserve">kaip </w:t>
      </w:r>
      <w:r w:rsidR="006E1F57" w:rsidRPr="006F51A7">
        <w:t xml:space="preserve">10 procentų </w:t>
      </w:r>
      <w:r w:rsidR="00D44827">
        <w:t>Į</w:t>
      </w:r>
      <w:r w:rsidR="006E1F57" w:rsidRPr="006F51A7">
        <w:t xml:space="preserve">monės nuosavo kapitalo </w:t>
      </w:r>
      <w:r w:rsidR="006B6E8E" w:rsidRPr="006F51A7">
        <w:t>lėš</w:t>
      </w:r>
      <w:r w:rsidR="00F27DBE" w:rsidRPr="006F51A7">
        <w:t>ų</w:t>
      </w:r>
      <w:r w:rsidR="00D44827">
        <w:t>;</w:t>
      </w:r>
    </w:p>
    <w:p w14:paraId="64EB9616" w14:textId="77777777" w:rsidR="008330BA" w:rsidRPr="006F51A7" w:rsidRDefault="00AD22AB" w:rsidP="001C2050">
      <w:pPr>
        <w:tabs>
          <w:tab w:val="left" w:pos="993"/>
        </w:tabs>
        <w:ind w:firstLine="992"/>
        <w:jc w:val="both"/>
      </w:pPr>
      <w:r>
        <w:t>10</w:t>
      </w:r>
      <w:r w:rsidR="008330BA" w:rsidRPr="006F51A7">
        <w:t xml:space="preserve">.3. Lietuvos Respublikos Vyriausybės vertybiniams popieriams </w:t>
      </w:r>
      <w:r w:rsidR="00D44827">
        <w:t>Aprašo</w:t>
      </w:r>
      <w:r w:rsidR="00223B1E">
        <w:t xml:space="preserve"> </w:t>
      </w:r>
      <w:r>
        <w:t>10</w:t>
      </w:r>
      <w:r w:rsidR="008330BA" w:rsidRPr="006F51A7">
        <w:t xml:space="preserve">.2 </w:t>
      </w:r>
      <w:r w:rsidR="00D44827">
        <w:t>pa</w:t>
      </w:r>
      <w:r w:rsidR="008330BA" w:rsidRPr="006F51A7">
        <w:t>punk</w:t>
      </w:r>
      <w:r w:rsidR="00D44827">
        <w:t>čio</w:t>
      </w:r>
      <w:r w:rsidR="008330BA" w:rsidRPr="006F51A7">
        <w:t xml:space="preserve"> apribojimai netaikomi.</w:t>
      </w:r>
    </w:p>
    <w:p w14:paraId="3CE9C33A" w14:textId="77777777" w:rsidR="006E1F57" w:rsidRDefault="006E1F57" w:rsidP="006E1F57">
      <w:pPr>
        <w:pStyle w:val="Heading1"/>
        <w:spacing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  <w:lang w:val="lt-LT"/>
        </w:rPr>
        <w:t xml:space="preserve"> SKYRIUS</w:t>
      </w:r>
    </w:p>
    <w:p w14:paraId="6EF35DDC" w14:textId="77777777" w:rsidR="006E1F57" w:rsidRPr="00B02BE9" w:rsidRDefault="006E1F57" w:rsidP="006E1F57">
      <w:pPr>
        <w:pStyle w:val="Heading1"/>
        <w:spacing w:line="240" w:lineRule="auto"/>
        <w:rPr>
          <w:rFonts w:ascii="Times New Roman" w:hAnsi="Times New Roman"/>
          <w:sz w:val="24"/>
          <w:lang w:val="lt-LT"/>
        </w:rPr>
      </w:pPr>
      <w:r w:rsidRPr="000840C6">
        <w:rPr>
          <w:rFonts w:ascii="Times New Roman" w:hAnsi="Times New Roman"/>
          <w:sz w:val="24"/>
          <w:szCs w:val="24"/>
        </w:rPr>
        <w:t>ĮMONĖS NUOSAVO KAPITALO LĖŠŲ INVES</w:t>
      </w:r>
      <w:r>
        <w:rPr>
          <w:rFonts w:ascii="Times New Roman" w:hAnsi="Times New Roman"/>
          <w:sz w:val="24"/>
          <w:szCs w:val="24"/>
        </w:rPr>
        <w:t>TAVIMO RIZIKOS VALDYMO PRINCIP</w:t>
      </w:r>
      <w:r>
        <w:rPr>
          <w:rFonts w:ascii="Times New Roman" w:hAnsi="Times New Roman"/>
          <w:sz w:val="24"/>
          <w:szCs w:val="24"/>
          <w:lang w:val="lt-LT"/>
        </w:rPr>
        <w:t>AI</w:t>
      </w:r>
      <w:r w:rsidRPr="00B02BE9">
        <w:rPr>
          <w:rFonts w:ascii="Times New Roman" w:hAnsi="Times New Roman"/>
          <w:sz w:val="24"/>
        </w:rPr>
        <w:t xml:space="preserve"> </w:t>
      </w:r>
    </w:p>
    <w:p w14:paraId="0964C04E" w14:textId="77777777" w:rsidR="006E1F57" w:rsidRPr="00B02BE9" w:rsidRDefault="006E1F57" w:rsidP="006E1F57">
      <w:pPr>
        <w:ind w:firstLine="720"/>
        <w:jc w:val="both"/>
      </w:pPr>
    </w:p>
    <w:p w14:paraId="79321BB7" w14:textId="77777777" w:rsidR="006E1F57" w:rsidRPr="006F51A7" w:rsidRDefault="009A2CC2" w:rsidP="001C2050">
      <w:pPr>
        <w:tabs>
          <w:tab w:val="left" w:pos="993"/>
        </w:tabs>
        <w:ind w:firstLine="992"/>
        <w:jc w:val="both"/>
      </w:pPr>
      <w:r w:rsidRPr="006F51A7">
        <w:t>1</w:t>
      </w:r>
      <w:r w:rsidR="00AD22AB">
        <w:t>1</w:t>
      </w:r>
      <w:r w:rsidR="006E1F57" w:rsidRPr="006F51A7">
        <w:t xml:space="preserve">. </w:t>
      </w:r>
      <w:r w:rsidR="00D44827">
        <w:t>Į</w:t>
      </w:r>
      <w:r w:rsidR="006E1F57" w:rsidRPr="006F51A7">
        <w:t xml:space="preserve">monės nuosavo kapitalo lėšų investavimo rizikos valdymas apima palūkanų normos, kredito ir likvidumo rizikos valdymą. </w:t>
      </w:r>
    </w:p>
    <w:p w14:paraId="125E4234" w14:textId="77777777" w:rsidR="006E1F57" w:rsidRPr="006F51A7" w:rsidRDefault="009A2CC2" w:rsidP="001C2050">
      <w:pPr>
        <w:tabs>
          <w:tab w:val="left" w:pos="993"/>
        </w:tabs>
        <w:ind w:firstLine="992"/>
        <w:jc w:val="both"/>
      </w:pPr>
      <w:r w:rsidRPr="006F51A7">
        <w:t>1</w:t>
      </w:r>
      <w:r w:rsidR="00AD22AB">
        <w:t>2</w:t>
      </w:r>
      <w:r w:rsidRPr="006F51A7">
        <w:t>.</w:t>
      </w:r>
      <w:r w:rsidR="006E1F57" w:rsidRPr="006F51A7">
        <w:t xml:space="preserve"> Valdant palūkanų normos riziką, laikoma, kad modifikuotos trukmės rodiklis,</w:t>
      </w:r>
      <w:r w:rsidR="00E34519" w:rsidRPr="006F51A7">
        <w:t xml:space="preserve"> kurį </w:t>
      </w:r>
      <w:r w:rsidR="00D44827">
        <w:t>Į</w:t>
      </w:r>
      <w:r w:rsidR="00E34519" w:rsidRPr="006F51A7">
        <w:t>monė skaičiuoja</w:t>
      </w:r>
      <w:r w:rsidR="004D7CDE" w:rsidRPr="006F51A7">
        <w:t xml:space="preserve"> kaip vyriausybių vertybinių </w:t>
      </w:r>
      <w:r w:rsidR="00E34519" w:rsidRPr="006F51A7">
        <w:t>popierių, į kuriuos investuot</w:t>
      </w:r>
      <w:r w:rsidR="00EA3C8B">
        <w:t>a</w:t>
      </w:r>
      <w:r w:rsidR="00E34519" w:rsidRPr="006F51A7">
        <w:t xml:space="preserve"> </w:t>
      </w:r>
      <w:r w:rsidR="00D44827">
        <w:t>Į</w:t>
      </w:r>
      <w:r w:rsidR="00E34519" w:rsidRPr="006F51A7">
        <w:t>monės nuosavo kapitalo lėš</w:t>
      </w:r>
      <w:r w:rsidR="00EA3C8B">
        <w:t>ų</w:t>
      </w:r>
      <w:r w:rsidR="00E34519" w:rsidRPr="006F51A7">
        <w:t>, pajamingum</w:t>
      </w:r>
      <w:r w:rsidR="004D7CDE" w:rsidRPr="006F51A7">
        <w:t>o ir išpirkimo trukmės</w:t>
      </w:r>
      <w:r w:rsidR="00E34519" w:rsidRPr="006F51A7">
        <w:t xml:space="preserve"> santykį,</w:t>
      </w:r>
      <w:r w:rsidR="004D7CDE" w:rsidRPr="006F51A7">
        <w:t xml:space="preserve"> </w:t>
      </w:r>
      <w:r w:rsidR="00E34519" w:rsidRPr="006F51A7">
        <w:t xml:space="preserve">yra priimtino rizikos lygio, kai jo reikšmė neviršija </w:t>
      </w:r>
      <w:r w:rsidR="008B085D">
        <w:t>7</w:t>
      </w:r>
      <w:r w:rsidR="006E1F57" w:rsidRPr="006F51A7">
        <w:t xml:space="preserve">. Ši nuostata taikoma visoms </w:t>
      </w:r>
      <w:r w:rsidR="00D44827">
        <w:t>Į</w:t>
      </w:r>
      <w:r w:rsidR="006E1F57" w:rsidRPr="006F51A7">
        <w:t>monės nuosavo kapitalo lėšoms</w:t>
      </w:r>
      <w:r w:rsidRPr="006F51A7">
        <w:t>, investuotoms į vyriausybių vertybinius popierius</w:t>
      </w:r>
      <w:r w:rsidR="006E1F57" w:rsidRPr="006F51A7">
        <w:t>.</w:t>
      </w:r>
    </w:p>
    <w:p w14:paraId="451E8F25" w14:textId="77777777" w:rsidR="006E1F57" w:rsidRDefault="009A2CC2" w:rsidP="001C2050">
      <w:pPr>
        <w:tabs>
          <w:tab w:val="left" w:pos="993"/>
        </w:tabs>
        <w:ind w:firstLine="992"/>
        <w:jc w:val="both"/>
      </w:pPr>
      <w:r w:rsidRPr="006F51A7">
        <w:t>1</w:t>
      </w:r>
      <w:r w:rsidR="00AD22AB">
        <w:t>3</w:t>
      </w:r>
      <w:r w:rsidRPr="006F51A7">
        <w:t>.</w:t>
      </w:r>
      <w:r w:rsidR="006E1F57" w:rsidRPr="006F51A7">
        <w:t xml:space="preserve"> Valdant kredito riziką, kuri tiesiogiai siejama su emitentu, ir likvidumo riziką, laikoma, kad</w:t>
      </w:r>
      <w:r w:rsidR="00325936" w:rsidRPr="006F51A7">
        <w:t xml:space="preserve"> </w:t>
      </w:r>
      <w:r w:rsidR="00EA3C8B">
        <w:t xml:space="preserve">užtikrinamas priimtinas </w:t>
      </w:r>
      <w:r w:rsidR="00BC445A">
        <w:t>Į</w:t>
      </w:r>
      <w:r w:rsidR="00EA3C8B">
        <w:t>monės</w:t>
      </w:r>
      <w:r w:rsidR="00AB78B9">
        <w:t xml:space="preserve"> nuosavo kapitalo lėšų saugumas ir likvidumas, kai laikomasi Aprašo III skyriuje nustatytų investavimo kriterijų. </w:t>
      </w:r>
    </w:p>
    <w:p w14:paraId="40665881" w14:textId="77777777" w:rsidR="00BC445A" w:rsidRPr="006F51A7" w:rsidRDefault="00BC445A" w:rsidP="006E1F57">
      <w:pPr>
        <w:tabs>
          <w:tab w:val="left" w:pos="993"/>
        </w:tabs>
        <w:jc w:val="both"/>
      </w:pPr>
    </w:p>
    <w:p w14:paraId="315E3371" w14:textId="77777777" w:rsidR="006E1F57" w:rsidRDefault="006E1F57" w:rsidP="006E1F57">
      <w:pPr>
        <w:pStyle w:val="Heading1"/>
        <w:spacing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  <w:lang w:val="lt-LT"/>
        </w:rPr>
        <w:t xml:space="preserve"> SKYRIUS</w:t>
      </w:r>
    </w:p>
    <w:p w14:paraId="05E84315" w14:textId="77777777" w:rsidR="006E1F57" w:rsidRPr="009C5175" w:rsidRDefault="006E1F57" w:rsidP="006E1F57">
      <w:pPr>
        <w:pStyle w:val="Heading1"/>
        <w:spacing w:line="240" w:lineRule="auto"/>
        <w:rPr>
          <w:rFonts w:ascii="Times New Roman" w:hAnsi="Times New Roman"/>
          <w:sz w:val="24"/>
          <w:szCs w:val="24"/>
          <w:lang w:val="lt-LT"/>
        </w:rPr>
      </w:pPr>
      <w:r w:rsidRPr="009C5175">
        <w:rPr>
          <w:rFonts w:ascii="Times New Roman" w:hAnsi="Times New Roman"/>
          <w:sz w:val="24"/>
          <w:szCs w:val="24"/>
        </w:rPr>
        <w:t>SPRENDIMŲ DĖL ĮMONĖS NUOSAVO KAPITALO</w:t>
      </w:r>
      <w:r w:rsidR="00E075A6">
        <w:rPr>
          <w:rFonts w:ascii="Times New Roman" w:hAnsi="Times New Roman"/>
          <w:sz w:val="24"/>
          <w:szCs w:val="24"/>
          <w:lang w:val="lt-LT"/>
        </w:rPr>
        <w:t xml:space="preserve"> LĖŠŲ</w:t>
      </w:r>
      <w:r w:rsidRPr="009C5175">
        <w:rPr>
          <w:rFonts w:ascii="Times New Roman" w:hAnsi="Times New Roman"/>
          <w:sz w:val="24"/>
          <w:szCs w:val="24"/>
        </w:rPr>
        <w:t xml:space="preserve"> INVESTAVIMO PRIĖMIMAS </w:t>
      </w:r>
    </w:p>
    <w:p w14:paraId="3A62259E" w14:textId="77777777" w:rsidR="006E1F57" w:rsidRPr="009C5175" w:rsidRDefault="006E1F57" w:rsidP="006E1F57">
      <w:pPr>
        <w:tabs>
          <w:tab w:val="left" w:pos="993"/>
        </w:tabs>
        <w:ind w:left="567"/>
        <w:jc w:val="both"/>
        <w:rPr>
          <w:b/>
        </w:rPr>
      </w:pPr>
    </w:p>
    <w:p w14:paraId="6249DF96" w14:textId="77777777" w:rsidR="006E1F57" w:rsidRPr="006F51A7" w:rsidRDefault="00AD22AB" w:rsidP="001C2050">
      <w:pPr>
        <w:tabs>
          <w:tab w:val="left" w:pos="993"/>
        </w:tabs>
        <w:ind w:firstLine="992"/>
        <w:jc w:val="both"/>
      </w:pPr>
      <w:r>
        <w:t>14</w:t>
      </w:r>
      <w:r w:rsidR="009A2CC2" w:rsidRPr="006F51A7">
        <w:t>.</w:t>
      </w:r>
      <w:r w:rsidR="006E1F57" w:rsidRPr="006F51A7">
        <w:t xml:space="preserve"> Sprendimą investuoti </w:t>
      </w:r>
      <w:r w:rsidR="00D44827">
        <w:t>Į</w:t>
      </w:r>
      <w:r w:rsidR="006E1F57" w:rsidRPr="006F51A7">
        <w:t>monės nuosavo kapitalo lėšas</w:t>
      </w:r>
      <w:r w:rsidR="008C4F6A" w:rsidRPr="006F51A7">
        <w:t xml:space="preserve">, išskyrus </w:t>
      </w:r>
      <w:r w:rsidR="00D44827">
        <w:t xml:space="preserve">atvejus, kai investuojama </w:t>
      </w:r>
      <w:r w:rsidR="00E075A6" w:rsidRPr="006F51A7">
        <w:t xml:space="preserve">Aprašo </w:t>
      </w:r>
      <w:r>
        <w:t>10</w:t>
      </w:r>
      <w:r w:rsidR="009A2CC2" w:rsidRPr="006F51A7">
        <w:t>.</w:t>
      </w:r>
      <w:r w:rsidR="00F0231C" w:rsidRPr="006F51A7">
        <w:t>1.</w:t>
      </w:r>
      <w:r w:rsidR="00B261E1">
        <w:t>3</w:t>
      </w:r>
      <w:r w:rsidR="00F0231C" w:rsidRPr="006F51A7">
        <w:t xml:space="preserve"> papunktyje nurodytomis</w:t>
      </w:r>
      <w:r w:rsidR="008C4F6A" w:rsidRPr="006F51A7">
        <w:t xml:space="preserve"> </w:t>
      </w:r>
      <w:r w:rsidR="00F0231C" w:rsidRPr="006F51A7">
        <w:t>sąlygomis</w:t>
      </w:r>
      <w:r w:rsidR="008C4F6A" w:rsidRPr="006F51A7">
        <w:t>,</w:t>
      </w:r>
      <w:r w:rsidR="006E1F57" w:rsidRPr="006F51A7">
        <w:t xml:space="preserve"> priima</w:t>
      </w:r>
      <w:r w:rsidR="00F0231C" w:rsidRPr="006F51A7">
        <w:t xml:space="preserve"> </w:t>
      </w:r>
      <w:r w:rsidR="00B261E1">
        <w:t>Į</w:t>
      </w:r>
      <w:r w:rsidR="00F0231C" w:rsidRPr="006F51A7">
        <w:t>monės vadovas</w:t>
      </w:r>
      <w:r w:rsidR="008C4F6A" w:rsidRPr="006F51A7">
        <w:t>.</w:t>
      </w:r>
    </w:p>
    <w:p w14:paraId="47135861" w14:textId="77777777" w:rsidR="008C4F6A" w:rsidRDefault="009A2CC2" w:rsidP="001C2050">
      <w:pPr>
        <w:tabs>
          <w:tab w:val="left" w:pos="993"/>
        </w:tabs>
        <w:ind w:firstLine="992"/>
        <w:jc w:val="both"/>
      </w:pPr>
      <w:r w:rsidRPr="006F51A7">
        <w:t>1</w:t>
      </w:r>
      <w:r w:rsidR="00AD22AB">
        <w:t>5</w:t>
      </w:r>
      <w:r w:rsidRPr="006F51A7">
        <w:t>.</w:t>
      </w:r>
      <w:r w:rsidR="008C4F6A" w:rsidRPr="006F51A7">
        <w:t xml:space="preserve"> </w:t>
      </w:r>
      <w:r w:rsidR="008C4F6A">
        <w:t xml:space="preserve">Sprendimą investuoti </w:t>
      </w:r>
      <w:r w:rsidR="00B261E1">
        <w:t>Į</w:t>
      </w:r>
      <w:r w:rsidR="008C4F6A">
        <w:t xml:space="preserve">monės nuosavo kapitalo lėšas </w:t>
      </w:r>
      <w:r w:rsidR="00E075A6">
        <w:t>Aprašo</w:t>
      </w:r>
      <w:r w:rsidR="00557454">
        <w:t xml:space="preserve"> </w:t>
      </w:r>
      <w:r w:rsidR="00AD22AB">
        <w:t>10</w:t>
      </w:r>
      <w:r w:rsidRPr="006F51A7">
        <w:t>.</w:t>
      </w:r>
      <w:r w:rsidR="00F0231C" w:rsidRPr="0039184D">
        <w:t>1.</w:t>
      </w:r>
      <w:r w:rsidR="00B261E1">
        <w:t>3</w:t>
      </w:r>
      <w:r w:rsidR="00F0231C">
        <w:t xml:space="preserve"> papunktyje nurodytomis</w:t>
      </w:r>
      <w:r w:rsidR="008C4F6A">
        <w:t xml:space="preserve"> </w:t>
      </w:r>
      <w:r w:rsidR="00F0231C">
        <w:t>sąlygomis</w:t>
      </w:r>
      <w:r w:rsidR="008C4F6A">
        <w:t xml:space="preserve"> priima</w:t>
      </w:r>
      <w:r w:rsidR="00DE2EE8">
        <w:t xml:space="preserve"> </w:t>
      </w:r>
      <w:r w:rsidR="0053300B">
        <w:t>Į</w:t>
      </w:r>
      <w:r w:rsidR="00DE2EE8">
        <w:t xml:space="preserve">monės savininko teises ir pareigas įgyvendinanti institucija. </w:t>
      </w:r>
      <w:r w:rsidR="008C4F6A">
        <w:t xml:space="preserve"> </w:t>
      </w:r>
    </w:p>
    <w:p w14:paraId="4C3267BD" w14:textId="77777777" w:rsidR="006E1F57" w:rsidRDefault="006E1F57" w:rsidP="006E1F57">
      <w:pPr>
        <w:tabs>
          <w:tab w:val="left" w:pos="993"/>
        </w:tabs>
        <w:jc w:val="both"/>
      </w:pPr>
      <w:r>
        <w:tab/>
      </w:r>
    </w:p>
    <w:p w14:paraId="44C2AA15" w14:textId="77777777" w:rsidR="006E1F57" w:rsidRDefault="006E1F57" w:rsidP="006E1F57">
      <w:pPr>
        <w:pStyle w:val="Heading3"/>
        <w:spacing w:before="0" w:after="0"/>
        <w:jc w:val="center"/>
        <w:rPr>
          <w:rFonts w:ascii="Times New Roman" w:hAnsi="Times New Roman"/>
          <w:bCs w:val="0"/>
          <w:sz w:val="24"/>
          <w:lang w:val="lt-LT"/>
        </w:rPr>
      </w:pPr>
      <w:r>
        <w:rPr>
          <w:rFonts w:ascii="Times New Roman" w:hAnsi="Times New Roman"/>
          <w:bCs w:val="0"/>
          <w:sz w:val="24"/>
        </w:rPr>
        <w:t>V</w:t>
      </w:r>
      <w:r>
        <w:rPr>
          <w:rFonts w:ascii="Times New Roman" w:hAnsi="Times New Roman"/>
          <w:bCs w:val="0"/>
          <w:sz w:val="24"/>
          <w:lang w:val="lt-LT"/>
        </w:rPr>
        <w:t>I SKYRIUS</w:t>
      </w:r>
    </w:p>
    <w:p w14:paraId="7B03BB19" w14:textId="77777777" w:rsidR="006E1F57" w:rsidRPr="00763B56" w:rsidRDefault="006E1F57" w:rsidP="006E1F57">
      <w:pPr>
        <w:pStyle w:val="Heading3"/>
        <w:spacing w:before="0" w:after="0"/>
        <w:jc w:val="center"/>
        <w:rPr>
          <w:rFonts w:ascii="Times New Roman" w:hAnsi="Times New Roman"/>
          <w:bCs w:val="0"/>
          <w:sz w:val="24"/>
          <w:lang w:val="lt-LT"/>
        </w:rPr>
      </w:pPr>
      <w:r>
        <w:rPr>
          <w:rFonts w:ascii="Times New Roman" w:hAnsi="Times New Roman"/>
          <w:bCs w:val="0"/>
          <w:sz w:val="24"/>
          <w:lang w:val="lt-LT"/>
        </w:rPr>
        <w:t>BAIGIAMOSIOS NUOSTATOS</w:t>
      </w:r>
    </w:p>
    <w:p w14:paraId="592D9542" w14:textId="77777777" w:rsidR="006E1F57" w:rsidRPr="00C0632D" w:rsidRDefault="006E1F57" w:rsidP="006E1F57">
      <w:pPr>
        <w:ind w:firstLine="720"/>
        <w:jc w:val="both"/>
        <w:rPr>
          <w:b/>
        </w:rPr>
      </w:pPr>
    </w:p>
    <w:p w14:paraId="44C3E376" w14:textId="77777777" w:rsidR="000B2EE8" w:rsidRPr="006F51A7" w:rsidRDefault="009A2CC2" w:rsidP="006E1F57">
      <w:pPr>
        <w:pStyle w:val="BodyText"/>
        <w:tabs>
          <w:tab w:val="left" w:pos="0"/>
          <w:tab w:val="left" w:pos="567"/>
          <w:tab w:val="left" w:pos="993"/>
        </w:tabs>
        <w:ind w:firstLine="993"/>
        <w:rPr>
          <w:lang w:val="lt-LT"/>
        </w:rPr>
      </w:pPr>
      <w:r w:rsidRPr="006F51A7">
        <w:rPr>
          <w:lang w:val="lt-LT"/>
        </w:rPr>
        <w:t>1</w:t>
      </w:r>
      <w:r w:rsidR="00AD22AB">
        <w:rPr>
          <w:lang w:val="lt-LT"/>
        </w:rPr>
        <w:t>6</w:t>
      </w:r>
      <w:r w:rsidRPr="006F51A7">
        <w:rPr>
          <w:lang w:val="lt-LT"/>
        </w:rPr>
        <w:t>.</w:t>
      </w:r>
      <w:r w:rsidR="000E7D76" w:rsidRPr="006F51A7">
        <w:rPr>
          <w:lang w:val="lt-LT"/>
        </w:rPr>
        <w:t xml:space="preserve"> </w:t>
      </w:r>
      <w:r w:rsidR="00B261E1">
        <w:rPr>
          <w:lang w:val="lt-LT"/>
        </w:rPr>
        <w:t>Į</w:t>
      </w:r>
      <w:r w:rsidR="000E7D76" w:rsidRPr="006F51A7">
        <w:rPr>
          <w:lang w:val="lt-LT"/>
        </w:rPr>
        <w:t>monės vadovas</w:t>
      </w:r>
      <w:r w:rsidR="006E1F57" w:rsidRPr="006F51A7">
        <w:rPr>
          <w:lang w:val="lt-LT"/>
        </w:rPr>
        <w:t xml:space="preserve">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 xml:space="preserve">monės </w:t>
      </w:r>
      <w:r w:rsidR="00DE2EE8" w:rsidRPr="006F51A7">
        <w:t xml:space="preserve">savininko </w:t>
      </w:r>
      <w:r w:rsidR="000E7D76" w:rsidRPr="006F51A7">
        <w:t xml:space="preserve">teises ir pareigas </w:t>
      </w:r>
      <w:r w:rsidR="000E7D76" w:rsidRPr="006F51A7">
        <w:rPr>
          <w:lang w:val="lt-LT"/>
        </w:rPr>
        <w:t>įgyvendinančiai</w:t>
      </w:r>
      <w:r w:rsidR="00DE2EE8" w:rsidRPr="006F51A7">
        <w:rPr>
          <w:lang w:val="lt-LT"/>
        </w:rPr>
        <w:t xml:space="preserve"> institucijai</w:t>
      </w:r>
      <w:r w:rsidR="006E1F57" w:rsidRPr="006F51A7">
        <w:rPr>
          <w:lang w:val="lt-LT"/>
        </w:rPr>
        <w:t xml:space="preserve"> </w:t>
      </w:r>
      <w:r w:rsidR="000647E1" w:rsidRPr="006F51A7">
        <w:rPr>
          <w:lang w:val="lt-LT"/>
        </w:rPr>
        <w:t xml:space="preserve">teikia </w:t>
      </w:r>
      <w:r w:rsidR="006E1F57" w:rsidRPr="006F51A7">
        <w:rPr>
          <w:lang w:val="lt-LT"/>
        </w:rPr>
        <w:t xml:space="preserve">rašytinę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>monės nuosavo kapitalo lėšų investavim</w:t>
      </w:r>
      <w:r w:rsidR="00B261E1">
        <w:rPr>
          <w:lang w:val="lt-LT"/>
        </w:rPr>
        <w:t>o ataskaitą</w:t>
      </w:r>
      <w:r w:rsidR="006E1F57" w:rsidRPr="006F51A7">
        <w:rPr>
          <w:lang w:val="lt-LT"/>
        </w:rPr>
        <w:t xml:space="preserve"> 2 kartus per metus – iki einamųjų ataskaitinių metų liepos 31 dienos ir pasibaigus kalendoriniams ataskaitiniams metams iki </w:t>
      </w:r>
      <w:r w:rsidR="000E7D76" w:rsidRPr="006F51A7">
        <w:rPr>
          <w:lang w:val="lt-LT"/>
        </w:rPr>
        <w:t>kitų</w:t>
      </w:r>
      <w:r w:rsidR="006E1F57" w:rsidRPr="006F51A7">
        <w:rPr>
          <w:lang w:val="lt-LT"/>
        </w:rPr>
        <w:t xml:space="preserve"> metų sausio 31 dienos.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>monės nuosavo kapitalo lėšų investavim</w:t>
      </w:r>
      <w:r w:rsidR="00B261E1">
        <w:rPr>
          <w:lang w:val="lt-LT"/>
        </w:rPr>
        <w:t>o ataskaitą Į</w:t>
      </w:r>
      <w:r w:rsidR="000E7D76" w:rsidRPr="006F51A7">
        <w:rPr>
          <w:lang w:val="lt-LT"/>
        </w:rPr>
        <w:t>monės vadovas</w:t>
      </w:r>
      <w:r w:rsidR="006E1F57" w:rsidRPr="006F51A7">
        <w:rPr>
          <w:lang w:val="lt-LT"/>
        </w:rPr>
        <w:t xml:space="preserve"> taip pat teikia </w:t>
      </w:r>
      <w:r w:rsidR="00B261E1">
        <w:rPr>
          <w:lang w:val="lt-LT"/>
        </w:rPr>
        <w:t>Į</w:t>
      </w:r>
      <w:r w:rsidR="00DE2EE8" w:rsidRPr="006F51A7">
        <w:rPr>
          <w:lang w:val="lt-LT"/>
        </w:rPr>
        <w:t>monės savininko teises ir pareigas įgyvendinančios institucijos arba</w:t>
      </w:r>
      <w:r w:rsidR="006E1F57" w:rsidRPr="006F51A7">
        <w:rPr>
          <w:lang w:val="lt-LT"/>
        </w:rPr>
        <w:t xml:space="preserve">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 xml:space="preserve">monės tarybos prašymu. </w:t>
      </w:r>
    </w:p>
    <w:p w14:paraId="29FA0195" w14:textId="77777777" w:rsidR="006F51A7" w:rsidRDefault="004E0DA1" w:rsidP="006F51A7">
      <w:pPr>
        <w:pStyle w:val="BodyText"/>
        <w:tabs>
          <w:tab w:val="left" w:pos="0"/>
          <w:tab w:val="left" w:pos="567"/>
          <w:tab w:val="left" w:pos="993"/>
        </w:tabs>
        <w:ind w:firstLine="993"/>
        <w:rPr>
          <w:lang w:val="lt-LT"/>
        </w:rPr>
      </w:pPr>
      <w:r w:rsidRPr="006F51A7">
        <w:rPr>
          <w:lang w:val="lt-LT"/>
        </w:rPr>
        <w:t>1</w:t>
      </w:r>
      <w:r w:rsidR="00AD22AB">
        <w:rPr>
          <w:lang w:val="lt-LT"/>
        </w:rPr>
        <w:t>7</w:t>
      </w:r>
      <w:r w:rsidRPr="006F51A7">
        <w:rPr>
          <w:lang w:val="lt-LT"/>
        </w:rPr>
        <w:t>.</w:t>
      </w:r>
      <w:r w:rsidR="000B2EE8" w:rsidRPr="006F51A7">
        <w:rPr>
          <w:lang w:val="lt-LT"/>
        </w:rPr>
        <w:t xml:space="preserve">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>monės n</w:t>
      </w:r>
      <w:r w:rsidR="00B261E1">
        <w:rPr>
          <w:lang w:val="lt-LT"/>
        </w:rPr>
        <w:t>uosavo kapitalo lėšų investavimo ataskaitoje</w:t>
      </w:r>
      <w:r w:rsidR="006E1F57" w:rsidRPr="006F51A7">
        <w:rPr>
          <w:lang w:val="lt-LT"/>
        </w:rPr>
        <w:t xml:space="preserve"> nurodomos </w:t>
      </w:r>
      <w:r w:rsidR="000E7D76" w:rsidRPr="006F51A7">
        <w:rPr>
          <w:lang w:val="lt-LT"/>
        </w:rPr>
        <w:t xml:space="preserve">Aprašo </w:t>
      </w:r>
      <w:r w:rsidRPr="006F51A7">
        <w:rPr>
          <w:lang w:val="lt-LT"/>
        </w:rPr>
        <w:t>7.</w:t>
      </w:r>
      <w:r w:rsidR="000E7D76" w:rsidRPr="006F51A7">
        <w:rPr>
          <w:lang w:val="lt-LT"/>
        </w:rPr>
        <w:t>1–</w:t>
      </w:r>
      <w:r w:rsidRPr="006F51A7">
        <w:rPr>
          <w:lang w:val="lt-LT"/>
        </w:rPr>
        <w:t>7.</w:t>
      </w:r>
      <w:r w:rsidR="000E7D76" w:rsidRPr="006F51A7">
        <w:rPr>
          <w:lang w:val="lt-LT"/>
        </w:rPr>
        <w:t>3</w:t>
      </w:r>
      <w:r w:rsidR="00917BD2">
        <w:rPr>
          <w:lang w:val="lt-LT"/>
        </w:rPr>
        <w:t> </w:t>
      </w:r>
      <w:r w:rsidR="000E7D76" w:rsidRPr="006F51A7">
        <w:rPr>
          <w:lang w:val="lt-LT"/>
        </w:rPr>
        <w:t>papunkčiuose nurodytos</w:t>
      </w:r>
      <w:r w:rsidR="006E1F57" w:rsidRPr="006F51A7">
        <w:rPr>
          <w:lang w:val="lt-LT"/>
        </w:rPr>
        <w:t xml:space="preserve"> priemonės, į kurias investuot</w:t>
      </w:r>
      <w:r w:rsidR="009D3CF1">
        <w:rPr>
          <w:lang w:val="lt-LT"/>
        </w:rPr>
        <w:t>a</w:t>
      </w:r>
      <w:r w:rsidR="006E1F57" w:rsidRPr="006F51A7">
        <w:rPr>
          <w:lang w:val="lt-LT"/>
        </w:rPr>
        <w:t xml:space="preserve">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>monės nuosavo kapitalo lėš</w:t>
      </w:r>
      <w:r w:rsidR="009D3CF1">
        <w:rPr>
          <w:lang w:val="lt-LT"/>
        </w:rPr>
        <w:t>ų</w:t>
      </w:r>
      <w:r w:rsidR="006E1F57" w:rsidRPr="006F51A7">
        <w:rPr>
          <w:lang w:val="lt-LT"/>
        </w:rPr>
        <w:t xml:space="preserve">, investuotų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>monės nuosavo kapitalo lėšų dydis</w:t>
      </w:r>
      <w:r w:rsidR="000647E1" w:rsidRPr="006F51A7">
        <w:rPr>
          <w:lang w:val="lt-LT"/>
        </w:rPr>
        <w:t xml:space="preserve">, </w:t>
      </w:r>
      <w:r w:rsidR="003F3D0E">
        <w:rPr>
          <w:lang w:val="lt-LT"/>
        </w:rPr>
        <w:t xml:space="preserve">informacija apie </w:t>
      </w:r>
      <w:r w:rsidR="006E1F57" w:rsidRPr="006F51A7">
        <w:rPr>
          <w:lang w:val="lt-LT"/>
        </w:rPr>
        <w:t>investavim</w:t>
      </w:r>
      <w:r w:rsidR="003F3D0E">
        <w:rPr>
          <w:lang w:val="lt-LT"/>
        </w:rPr>
        <w:t>ą</w:t>
      </w:r>
      <w:r w:rsidR="006E1F57" w:rsidRPr="006F51A7">
        <w:rPr>
          <w:lang w:val="lt-LT"/>
        </w:rPr>
        <w:t xml:space="preserve"> pagal atskiras priemones</w:t>
      </w:r>
      <w:r w:rsidR="000E7D76" w:rsidRPr="006F51A7">
        <w:rPr>
          <w:lang w:val="lt-LT"/>
        </w:rPr>
        <w:t xml:space="preserve">, </w:t>
      </w:r>
      <w:r w:rsidR="006A6493" w:rsidRPr="006F51A7">
        <w:t xml:space="preserve">sudarytų sandorių </w:t>
      </w:r>
      <w:r w:rsidR="006E1F57" w:rsidRPr="006F51A7">
        <w:rPr>
          <w:lang w:val="lt-LT"/>
        </w:rPr>
        <w:t xml:space="preserve">dėl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 xml:space="preserve">monės nuosavo kapitalo lėšų investavimo data, kita aktuali su </w:t>
      </w:r>
      <w:r w:rsidR="00B261E1">
        <w:rPr>
          <w:lang w:val="lt-LT"/>
        </w:rPr>
        <w:t>Į</w:t>
      </w:r>
      <w:r w:rsidR="006E1F57" w:rsidRPr="006F51A7">
        <w:rPr>
          <w:lang w:val="lt-LT"/>
        </w:rPr>
        <w:t>monės nuosavo kapitalo lėšų investavimu susijusi informacija.</w:t>
      </w:r>
    </w:p>
    <w:p w14:paraId="771B7131" w14:textId="77777777" w:rsidR="00DE2EE8" w:rsidRPr="008C4F6A" w:rsidRDefault="00DE2EE8" w:rsidP="001C2050">
      <w:pPr>
        <w:pStyle w:val="BodyText"/>
        <w:tabs>
          <w:tab w:val="left" w:pos="0"/>
          <w:tab w:val="left" w:pos="567"/>
          <w:tab w:val="left" w:pos="993"/>
        </w:tabs>
        <w:jc w:val="center"/>
        <w:rPr>
          <w:lang w:val="lt-LT"/>
        </w:rPr>
      </w:pPr>
      <w:r>
        <w:rPr>
          <w:lang w:val="lt-LT"/>
        </w:rPr>
        <w:t>_______________</w:t>
      </w:r>
    </w:p>
    <w:p w14:paraId="72D24A40" w14:textId="77777777" w:rsidR="006E1F57" w:rsidRDefault="006E1F57" w:rsidP="001C2050">
      <w:pPr>
        <w:pStyle w:val="BodyText"/>
        <w:tabs>
          <w:tab w:val="left" w:pos="0"/>
          <w:tab w:val="left" w:pos="567"/>
          <w:tab w:val="left" w:pos="993"/>
        </w:tabs>
        <w:rPr>
          <w:lang w:val="lt-LT"/>
        </w:rPr>
      </w:pPr>
    </w:p>
    <w:p w14:paraId="0877775C" w14:textId="77777777" w:rsidR="00BF5B17" w:rsidRDefault="00BF5B17"/>
    <w:sectPr w:rsidR="00BF5B17" w:rsidSect="002651B0">
      <w:headerReference w:type="default" r:id="rId7"/>
      <w:pgSz w:w="11906" w:h="16838"/>
      <w:pgMar w:top="1418" w:right="567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19FD" w14:textId="77777777" w:rsidR="00F60D0C" w:rsidRDefault="00F60D0C" w:rsidP="003F48AD">
      <w:r>
        <w:separator/>
      </w:r>
    </w:p>
  </w:endnote>
  <w:endnote w:type="continuationSeparator" w:id="0">
    <w:p w14:paraId="6AC358FD" w14:textId="77777777" w:rsidR="00F60D0C" w:rsidRDefault="00F60D0C" w:rsidP="003F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8B44" w14:textId="77777777" w:rsidR="00F60D0C" w:rsidRDefault="00F60D0C" w:rsidP="003F48AD">
      <w:r>
        <w:separator/>
      </w:r>
    </w:p>
  </w:footnote>
  <w:footnote w:type="continuationSeparator" w:id="0">
    <w:p w14:paraId="2431311E" w14:textId="77777777" w:rsidR="00F60D0C" w:rsidRDefault="00F60D0C" w:rsidP="003F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0854" w14:textId="77777777" w:rsidR="002651B0" w:rsidRDefault="002651B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00825">
      <w:rPr>
        <w:noProof/>
      </w:rPr>
      <w:t>3</w:t>
    </w:r>
    <w:r>
      <w:fldChar w:fldCharType="end"/>
    </w:r>
  </w:p>
  <w:p w14:paraId="2A5A30CB" w14:textId="77777777" w:rsidR="003F48AD" w:rsidRDefault="003F4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F57"/>
    <w:rsid w:val="00007194"/>
    <w:rsid w:val="00010377"/>
    <w:rsid w:val="0002085E"/>
    <w:rsid w:val="00053FAC"/>
    <w:rsid w:val="000647E1"/>
    <w:rsid w:val="00083331"/>
    <w:rsid w:val="000A390C"/>
    <w:rsid w:val="000B2EE8"/>
    <w:rsid w:val="000B313A"/>
    <w:rsid w:val="000B6387"/>
    <w:rsid w:val="000C50F0"/>
    <w:rsid w:val="000E3FC3"/>
    <w:rsid w:val="000E7D76"/>
    <w:rsid w:val="000F6AA4"/>
    <w:rsid w:val="0010243A"/>
    <w:rsid w:val="001079B9"/>
    <w:rsid w:val="00113293"/>
    <w:rsid w:val="00121A2A"/>
    <w:rsid w:val="00123FF3"/>
    <w:rsid w:val="00170891"/>
    <w:rsid w:val="00184AE7"/>
    <w:rsid w:val="001C2050"/>
    <w:rsid w:val="001C6A4D"/>
    <w:rsid w:val="001D4287"/>
    <w:rsid w:val="001E07B2"/>
    <w:rsid w:val="001F305F"/>
    <w:rsid w:val="00223B1E"/>
    <w:rsid w:val="0025091F"/>
    <w:rsid w:val="002651B0"/>
    <w:rsid w:val="002953AF"/>
    <w:rsid w:val="002A3046"/>
    <w:rsid w:val="002C1354"/>
    <w:rsid w:val="002C7D44"/>
    <w:rsid w:val="002E1FC3"/>
    <w:rsid w:val="00304185"/>
    <w:rsid w:val="0032114A"/>
    <w:rsid w:val="00324004"/>
    <w:rsid w:val="00325936"/>
    <w:rsid w:val="003662CD"/>
    <w:rsid w:val="0039184D"/>
    <w:rsid w:val="003B3A78"/>
    <w:rsid w:val="003D5A42"/>
    <w:rsid w:val="003F3D0E"/>
    <w:rsid w:val="003F48AD"/>
    <w:rsid w:val="00416CA1"/>
    <w:rsid w:val="004353A8"/>
    <w:rsid w:val="004413E2"/>
    <w:rsid w:val="00447823"/>
    <w:rsid w:val="00476BC0"/>
    <w:rsid w:val="00491902"/>
    <w:rsid w:val="004B5032"/>
    <w:rsid w:val="004B7464"/>
    <w:rsid w:val="004D7CDE"/>
    <w:rsid w:val="004E0DA1"/>
    <w:rsid w:val="0053300B"/>
    <w:rsid w:val="00534C77"/>
    <w:rsid w:val="00540C29"/>
    <w:rsid w:val="00557454"/>
    <w:rsid w:val="00563BA7"/>
    <w:rsid w:val="005C2DD8"/>
    <w:rsid w:val="00611A8B"/>
    <w:rsid w:val="00675233"/>
    <w:rsid w:val="00684E98"/>
    <w:rsid w:val="00686DC4"/>
    <w:rsid w:val="006A6493"/>
    <w:rsid w:val="006B6E8E"/>
    <w:rsid w:val="006D034F"/>
    <w:rsid w:val="006E1F57"/>
    <w:rsid w:val="006F51A7"/>
    <w:rsid w:val="00716169"/>
    <w:rsid w:val="007234B2"/>
    <w:rsid w:val="00732F5D"/>
    <w:rsid w:val="00736D06"/>
    <w:rsid w:val="007673DC"/>
    <w:rsid w:val="00774A46"/>
    <w:rsid w:val="00792DB4"/>
    <w:rsid w:val="007C5A54"/>
    <w:rsid w:val="007D50B9"/>
    <w:rsid w:val="007D70E0"/>
    <w:rsid w:val="007D7E6C"/>
    <w:rsid w:val="007E61F2"/>
    <w:rsid w:val="00804AE3"/>
    <w:rsid w:val="00810EE4"/>
    <w:rsid w:val="008212C7"/>
    <w:rsid w:val="008330BA"/>
    <w:rsid w:val="00833CF7"/>
    <w:rsid w:val="008445E6"/>
    <w:rsid w:val="00846C7C"/>
    <w:rsid w:val="008B085D"/>
    <w:rsid w:val="008B4440"/>
    <w:rsid w:val="008B465D"/>
    <w:rsid w:val="008B70BF"/>
    <w:rsid w:val="008C4F6A"/>
    <w:rsid w:val="008C7E1F"/>
    <w:rsid w:val="00916249"/>
    <w:rsid w:val="00917BD2"/>
    <w:rsid w:val="0096024D"/>
    <w:rsid w:val="00993901"/>
    <w:rsid w:val="009A2CC2"/>
    <w:rsid w:val="009A76E6"/>
    <w:rsid w:val="009D2CFE"/>
    <w:rsid w:val="009D3CF1"/>
    <w:rsid w:val="009D64D2"/>
    <w:rsid w:val="009E03E1"/>
    <w:rsid w:val="009E7B2A"/>
    <w:rsid w:val="00A0394E"/>
    <w:rsid w:val="00A07E3E"/>
    <w:rsid w:val="00A71915"/>
    <w:rsid w:val="00A72C70"/>
    <w:rsid w:val="00AA119C"/>
    <w:rsid w:val="00AB78B9"/>
    <w:rsid w:val="00AC2575"/>
    <w:rsid w:val="00AD20C7"/>
    <w:rsid w:val="00AD22AB"/>
    <w:rsid w:val="00AD4669"/>
    <w:rsid w:val="00AF308D"/>
    <w:rsid w:val="00B02BE0"/>
    <w:rsid w:val="00B261E1"/>
    <w:rsid w:val="00B500EE"/>
    <w:rsid w:val="00B50EA0"/>
    <w:rsid w:val="00B61A81"/>
    <w:rsid w:val="00BA08B0"/>
    <w:rsid w:val="00BC429E"/>
    <w:rsid w:val="00BC445A"/>
    <w:rsid w:val="00BD7347"/>
    <w:rsid w:val="00BF5B17"/>
    <w:rsid w:val="00C17ECF"/>
    <w:rsid w:val="00C23BC5"/>
    <w:rsid w:val="00C25042"/>
    <w:rsid w:val="00CA334D"/>
    <w:rsid w:val="00CE4F85"/>
    <w:rsid w:val="00D13ADE"/>
    <w:rsid w:val="00D13D4D"/>
    <w:rsid w:val="00D14B5C"/>
    <w:rsid w:val="00D21150"/>
    <w:rsid w:val="00D21D3E"/>
    <w:rsid w:val="00D44827"/>
    <w:rsid w:val="00D449C7"/>
    <w:rsid w:val="00D83FBC"/>
    <w:rsid w:val="00D8569B"/>
    <w:rsid w:val="00DC3248"/>
    <w:rsid w:val="00DD5DAC"/>
    <w:rsid w:val="00DE2EE8"/>
    <w:rsid w:val="00E00825"/>
    <w:rsid w:val="00E075A6"/>
    <w:rsid w:val="00E34519"/>
    <w:rsid w:val="00EA3C8B"/>
    <w:rsid w:val="00EC0793"/>
    <w:rsid w:val="00EC3B76"/>
    <w:rsid w:val="00EE6B08"/>
    <w:rsid w:val="00F0231C"/>
    <w:rsid w:val="00F27CC0"/>
    <w:rsid w:val="00F27DBE"/>
    <w:rsid w:val="00F470FB"/>
    <w:rsid w:val="00F60D0C"/>
    <w:rsid w:val="00F63CE7"/>
    <w:rsid w:val="00F83AE8"/>
    <w:rsid w:val="00F857F8"/>
    <w:rsid w:val="00FA686A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DB2A"/>
  <w15:docId w15:val="{CFE88296-D44B-49C2-BEF8-9D5BC39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5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F57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1F57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6E1F5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6E1F57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6E1F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F57"/>
    <w:rPr>
      <w:rFonts w:ascii="Tahoma" w:eastAsia="Times New Roman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3F48A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F48A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8A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F48A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E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1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61F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61F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C44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EC5430-0307-415A-8056-0695984EA1A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5908</Words>
  <Characters>3368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Frejutė</dc:creator>
  <cp:lastModifiedBy>Dovilė Stoškuvienė</cp:lastModifiedBy>
  <cp:revision>3</cp:revision>
  <cp:lastPrinted>2018-11-22T09:11:00Z</cp:lastPrinted>
  <dcterms:created xsi:type="dcterms:W3CDTF">2021-01-20T14:32:00Z</dcterms:created>
  <dcterms:modified xsi:type="dcterms:W3CDTF">2021-02-04T06:51:00Z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1797071</vt:lpwstr>
  </property>
  <property fmtid="{D5CDD505-2E9C-101B-9397-08002B2CF9AE}" pid="7" name="DISTaskPaneUrl">
    <vt:lpwstr>http://edvs.epaslaugos.lt/cs/idcplg?ClientControlled=DocMan&amp;coreContentOnly=1&amp;WebdavRequest=1&amp;IdcService=DOC_INFO&amp;dID=886033</vt:lpwstr>
  </property>
  <property fmtid="{D5CDD505-2E9C-101B-9397-08002B2CF9AE}" pid="8" name="DISC_AdditionalMakers">
    <vt:lpwstr> </vt:lpwstr>
  </property>
  <property fmtid="{D5CDD505-2E9C-101B-9397-08002B2CF9AE}" pid="9" name="DISC_OrgAuthor">
    <vt:lpwstr>Veiklos organizavimo skyrius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dovilesto</vt:lpwstr>
  </property>
  <property fmtid="{D5CDD505-2E9C-101B-9397-08002B2CF9AE}" pid="20" name="DISC_AdditionalApprovers">
    <vt:lpwstr> </vt:lpwstr>
  </property>
  <property fmtid="{D5CDD505-2E9C-101B-9397-08002B2CF9AE}" pid="21" name="DISdID">
    <vt:lpwstr>886033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