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71D71" w14:textId="77777777" w:rsidR="000E7A78" w:rsidRPr="005425A7" w:rsidRDefault="009A06C5" w:rsidP="00822BB7">
      <w:pPr>
        <w:tabs>
          <w:tab w:val="left" w:pos="5670"/>
        </w:tabs>
        <w:ind w:left="4536"/>
      </w:pPr>
      <w:r w:rsidRPr="005425A7">
        <w:t>PATVIRTINTA</w:t>
      </w:r>
      <w:r w:rsidR="000E7A78" w:rsidRPr="005425A7">
        <w:t xml:space="preserve"> </w:t>
      </w:r>
    </w:p>
    <w:p w14:paraId="1271435B" w14:textId="132893BA" w:rsidR="00155080" w:rsidRPr="00155080" w:rsidRDefault="009A06C5" w:rsidP="00155080">
      <w:pPr>
        <w:tabs>
          <w:tab w:val="left" w:pos="5670"/>
        </w:tabs>
        <w:ind w:left="4536"/>
      </w:pPr>
      <w:r w:rsidRPr="005425A7">
        <w:t xml:space="preserve">Valstybės įmonės „Indėlių ir investicijų draudimas“ </w:t>
      </w:r>
      <w:bookmarkStart w:id="0" w:name="_GoBack"/>
      <w:bookmarkEnd w:id="0"/>
      <w:r w:rsidRPr="005425A7">
        <w:t>tarybos 20</w:t>
      </w:r>
      <w:r w:rsidR="000E7A78" w:rsidRPr="005425A7">
        <w:t>1</w:t>
      </w:r>
      <w:r w:rsidR="007F7256" w:rsidRPr="005425A7">
        <w:t>6</w:t>
      </w:r>
      <w:r w:rsidR="000E7A78" w:rsidRPr="005425A7">
        <w:t xml:space="preserve"> </w:t>
      </w:r>
      <w:r w:rsidRPr="005425A7">
        <w:t>m</w:t>
      </w:r>
      <w:r w:rsidR="00202EE3" w:rsidRPr="005425A7">
        <w:t xml:space="preserve">. </w:t>
      </w:r>
      <w:r w:rsidR="00496C70">
        <w:t xml:space="preserve">balandžio </w:t>
      </w:r>
      <w:r w:rsidR="00E81BA6">
        <w:t>4</w:t>
      </w:r>
      <w:r w:rsidR="00202EE3" w:rsidRPr="005425A7">
        <w:t xml:space="preserve"> </w:t>
      </w:r>
      <w:r w:rsidRPr="005425A7">
        <w:t>d. nutarimu Nr.</w:t>
      </w:r>
      <w:r w:rsidRPr="00C0632D">
        <w:t xml:space="preserve"> </w:t>
      </w:r>
      <w:r w:rsidR="00202EE3" w:rsidRPr="004F4477">
        <w:t>02-5-</w:t>
      </w:r>
      <w:r w:rsidR="00E81BA6" w:rsidRPr="004F4477">
        <w:t>2</w:t>
      </w:r>
      <w:r w:rsidR="00396314">
        <w:t>.1</w:t>
      </w:r>
      <w:r w:rsidR="00155080">
        <w:t xml:space="preserve"> </w:t>
      </w:r>
      <w:r w:rsidR="00155080" w:rsidRPr="007A4080">
        <w:t>(20</w:t>
      </w:r>
      <w:r w:rsidR="00313C31" w:rsidRPr="007A4080">
        <w:t>2</w:t>
      </w:r>
      <w:r w:rsidR="001146A1">
        <w:rPr>
          <w:lang w:val="en-US"/>
        </w:rPr>
        <w:t>2</w:t>
      </w:r>
      <w:r w:rsidR="00155080" w:rsidRPr="006C0DBD">
        <w:t xml:space="preserve"> m.</w:t>
      </w:r>
      <w:r w:rsidR="0040002A" w:rsidRPr="006C0DBD">
        <w:t xml:space="preserve"> </w:t>
      </w:r>
      <w:proofErr w:type="spellStart"/>
      <w:r w:rsidR="00577D00">
        <w:rPr>
          <w:lang w:val="en-US"/>
        </w:rPr>
        <w:t>sausio</w:t>
      </w:r>
      <w:proofErr w:type="spellEnd"/>
      <w:r w:rsidR="00577D00">
        <w:rPr>
          <w:lang w:val="en-US"/>
        </w:rPr>
        <w:t xml:space="preserve"> 6 </w:t>
      </w:r>
      <w:r w:rsidR="00155080" w:rsidRPr="006C0DBD">
        <w:t xml:space="preserve">d. </w:t>
      </w:r>
      <w:r w:rsidR="0040002A" w:rsidRPr="006C0DBD">
        <w:t>protokol</w:t>
      </w:r>
      <w:r w:rsidR="00155080" w:rsidRPr="00010554">
        <w:t>o Nr.</w:t>
      </w:r>
      <w:r w:rsidR="00577D00">
        <w:t xml:space="preserve"> 02-1 </w:t>
      </w:r>
      <w:r w:rsidR="00155080" w:rsidRPr="006C0DBD">
        <w:t>redakcija)</w:t>
      </w:r>
    </w:p>
    <w:p w14:paraId="1E31C297" w14:textId="77777777" w:rsidR="009A06C5" w:rsidRPr="00C0632D" w:rsidRDefault="009A06C5" w:rsidP="00822BB7">
      <w:pPr>
        <w:tabs>
          <w:tab w:val="left" w:pos="5670"/>
        </w:tabs>
        <w:ind w:left="4536"/>
      </w:pPr>
    </w:p>
    <w:p w14:paraId="7602EE19" w14:textId="77777777" w:rsidR="009E2FF6" w:rsidRPr="00C0632D" w:rsidRDefault="009E2FF6" w:rsidP="00822BB7">
      <w:pPr>
        <w:ind w:left="4536"/>
      </w:pPr>
    </w:p>
    <w:p w14:paraId="69752DB7" w14:textId="77777777" w:rsidR="009E2FF6" w:rsidRPr="00C0632D" w:rsidRDefault="009E2FF6" w:rsidP="009E2FF6">
      <w:pPr>
        <w:jc w:val="right"/>
        <w:rPr>
          <w:b/>
        </w:rPr>
      </w:pPr>
    </w:p>
    <w:p w14:paraId="4F67B067" w14:textId="77777777" w:rsidR="002C3553" w:rsidRPr="001077EC" w:rsidRDefault="002C3553" w:rsidP="002C3553">
      <w:pPr>
        <w:pStyle w:val="Heading1"/>
        <w:spacing w:line="240" w:lineRule="auto"/>
        <w:rPr>
          <w:rFonts w:ascii="Times New Roman" w:hAnsi="Times New Roman"/>
          <w:sz w:val="24"/>
          <w:lang w:val="lt-LT"/>
        </w:rPr>
      </w:pPr>
      <w:r>
        <w:rPr>
          <w:rFonts w:ascii="Times New Roman" w:hAnsi="Times New Roman"/>
          <w:sz w:val="24"/>
        </w:rPr>
        <w:t>INDĖLIŲ DRAUDIMO FONDO IR ĮSIPAREIGOJIMŲ INVESTUOTOJAMS DRAUDIMO FONDO LĖŠŲ INVESTAVIMO</w:t>
      </w:r>
      <w:r w:rsidR="005425A7" w:rsidRPr="00B45416">
        <w:rPr>
          <w:rFonts w:ascii="Times New Roman" w:hAnsi="Times New Roman"/>
          <w:sz w:val="24"/>
          <w:lang w:val="lt-LT"/>
        </w:rPr>
        <w:t xml:space="preserve"> </w:t>
      </w:r>
      <w:r w:rsidR="00402EF0" w:rsidRPr="00B45416">
        <w:rPr>
          <w:rFonts w:ascii="Times New Roman" w:hAnsi="Times New Roman"/>
          <w:sz w:val="24"/>
          <w:lang w:val="lt-LT"/>
        </w:rPr>
        <w:t>TAISYKL</w:t>
      </w:r>
      <w:r w:rsidR="00402EF0">
        <w:rPr>
          <w:rFonts w:ascii="Times New Roman" w:hAnsi="Times New Roman"/>
          <w:sz w:val="24"/>
          <w:lang w:val="lt-LT"/>
        </w:rPr>
        <w:t>ĖS</w:t>
      </w:r>
    </w:p>
    <w:p w14:paraId="57E740F9" w14:textId="77777777" w:rsidR="002C3553" w:rsidRPr="00C0632D" w:rsidRDefault="002C3553" w:rsidP="002C3553"/>
    <w:p w14:paraId="5DB47D54" w14:textId="77777777" w:rsidR="002C3553" w:rsidRPr="00C0632D" w:rsidRDefault="002C3553" w:rsidP="002C3553">
      <w:pPr>
        <w:pStyle w:val="Heading3"/>
        <w:spacing w:before="0" w:after="0"/>
        <w:jc w:val="center"/>
        <w:rPr>
          <w:rFonts w:ascii="Times New Roman" w:hAnsi="Times New Roman"/>
          <w:sz w:val="24"/>
        </w:rPr>
      </w:pPr>
      <w:r w:rsidRPr="00C0632D">
        <w:rPr>
          <w:rFonts w:ascii="Times New Roman" w:hAnsi="Times New Roman"/>
          <w:sz w:val="24"/>
        </w:rPr>
        <w:t>I. BENDROJI DALIS</w:t>
      </w:r>
    </w:p>
    <w:p w14:paraId="7038D66E" w14:textId="77777777" w:rsidR="002C3553" w:rsidRPr="00C0632D" w:rsidRDefault="002C3553" w:rsidP="002C3553">
      <w:pPr>
        <w:tabs>
          <w:tab w:val="left" w:pos="993"/>
        </w:tabs>
        <w:rPr>
          <w:b/>
        </w:rPr>
      </w:pPr>
    </w:p>
    <w:p w14:paraId="4F872EC6" w14:textId="77777777" w:rsidR="008762C6" w:rsidRDefault="00BA7439" w:rsidP="002C3553">
      <w:pPr>
        <w:numPr>
          <w:ilvl w:val="0"/>
          <w:numId w:val="1"/>
        </w:numPr>
        <w:tabs>
          <w:tab w:val="left" w:pos="993"/>
        </w:tabs>
        <w:ind w:left="0" w:firstLine="567"/>
        <w:jc w:val="both"/>
      </w:pPr>
      <w:r>
        <w:t>Šios Taisyklės (toliau – Taisyklės)</w:t>
      </w:r>
      <w:r w:rsidR="00AC3875">
        <w:t xml:space="preserve"> </w:t>
      </w:r>
      <w:r w:rsidR="002C3553">
        <w:t xml:space="preserve">nustato </w:t>
      </w:r>
      <w:r w:rsidR="00597859">
        <w:t>v</w:t>
      </w:r>
      <w:r w:rsidR="002C3553">
        <w:t>alstybės įmonės „Indėlių ir investicijų draudimas“ (toliau</w:t>
      </w:r>
      <w:r w:rsidR="00D6055F">
        <w:t xml:space="preserve"> – </w:t>
      </w:r>
      <w:r w:rsidR="00597859">
        <w:t>D</w:t>
      </w:r>
      <w:r w:rsidR="002C3553">
        <w:t xml:space="preserve">raudimo įmonė) </w:t>
      </w:r>
      <w:r w:rsidR="002C3553" w:rsidRPr="00C0632D">
        <w:t xml:space="preserve">administruojamų </w:t>
      </w:r>
      <w:r w:rsidR="002C3553" w:rsidRPr="00C0632D">
        <w:rPr>
          <w:rFonts w:eastAsia="Arial Unicode MS"/>
        </w:rPr>
        <w:t xml:space="preserve">Indėlių draudimo fondo ir </w:t>
      </w:r>
      <w:r w:rsidR="002C3553" w:rsidRPr="00C0632D">
        <w:t>Įsipareigojim</w:t>
      </w:r>
      <w:r w:rsidR="002C3553">
        <w:t xml:space="preserve">ų investuotojams draudimo fondo (toliau – Fondai) </w:t>
      </w:r>
      <w:r w:rsidR="00122999">
        <w:t>lėšų</w:t>
      </w:r>
      <w:r w:rsidR="00621F7E">
        <w:t xml:space="preserve"> </w:t>
      </w:r>
      <w:r w:rsidR="002C3553" w:rsidRPr="00C0632D">
        <w:t xml:space="preserve">investavimo bendruosius principus. </w:t>
      </w:r>
    </w:p>
    <w:p w14:paraId="101A42AA" w14:textId="77777777" w:rsidR="002C3553" w:rsidRDefault="008762C6" w:rsidP="002C3553">
      <w:pPr>
        <w:numPr>
          <w:ilvl w:val="0"/>
          <w:numId w:val="1"/>
        </w:numPr>
        <w:tabs>
          <w:tab w:val="left" w:pos="993"/>
        </w:tabs>
        <w:ind w:left="0" w:firstLine="567"/>
        <w:jc w:val="both"/>
      </w:pPr>
      <w:r>
        <w:t>Taisyklėse</w:t>
      </w:r>
      <w:r w:rsidR="008375B2">
        <w:t xml:space="preserve"> vartojamos sąvokos </w:t>
      </w:r>
      <w:r w:rsidR="009E509C">
        <w:t xml:space="preserve">suprantamos taip, kaip jos apibrėžtos </w:t>
      </w:r>
      <w:r>
        <w:t xml:space="preserve">Lietuvos Respublikos indėlių ir įsipareigojimų investuotojams draudimo įstatyme (toliau – </w:t>
      </w:r>
      <w:r w:rsidR="008375B2">
        <w:t>Įstatym</w:t>
      </w:r>
      <w:r>
        <w:t>as)</w:t>
      </w:r>
      <w:r w:rsidR="008375B2">
        <w:t>.</w:t>
      </w:r>
    </w:p>
    <w:p w14:paraId="5A7C3A57" w14:textId="77777777" w:rsidR="002C3553" w:rsidRPr="00C0632D" w:rsidRDefault="00C86719" w:rsidP="002C3553">
      <w:pPr>
        <w:numPr>
          <w:ilvl w:val="0"/>
          <w:numId w:val="1"/>
        </w:numPr>
        <w:tabs>
          <w:tab w:val="left" w:pos="993"/>
        </w:tabs>
        <w:ind w:left="0" w:firstLine="567"/>
        <w:jc w:val="both"/>
      </w:pPr>
      <w:r>
        <w:t xml:space="preserve">Draudimo įmonė kiekvieno </w:t>
      </w:r>
      <w:r w:rsidR="00597859">
        <w:t xml:space="preserve">administruojamo </w:t>
      </w:r>
      <w:r w:rsidR="00A03954">
        <w:t>F</w:t>
      </w:r>
      <w:r>
        <w:t>ondo</w:t>
      </w:r>
      <w:r w:rsidR="002C3553">
        <w:t xml:space="preserve"> apskaitą tvarko</w:t>
      </w:r>
      <w:r w:rsidR="00745914">
        <w:t xml:space="preserve"> ir lėšas investuoja</w:t>
      </w:r>
      <w:r w:rsidR="002C3553">
        <w:t xml:space="preserve"> atskirai. </w:t>
      </w:r>
    </w:p>
    <w:p w14:paraId="6AD6F97D" w14:textId="77777777" w:rsidR="002C3553" w:rsidRDefault="002C3553" w:rsidP="002C3553">
      <w:pPr>
        <w:tabs>
          <w:tab w:val="left" w:pos="900"/>
        </w:tabs>
        <w:ind w:left="567"/>
        <w:jc w:val="both"/>
      </w:pPr>
    </w:p>
    <w:p w14:paraId="542E211A" w14:textId="77777777" w:rsidR="009E2FF6" w:rsidRPr="00C0632D" w:rsidRDefault="009E2FF6" w:rsidP="00DF3A17">
      <w:pPr>
        <w:pStyle w:val="Heading3"/>
        <w:spacing w:before="0" w:after="0"/>
        <w:jc w:val="center"/>
        <w:rPr>
          <w:rFonts w:ascii="Times New Roman" w:hAnsi="Times New Roman"/>
          <w:sz w:val="24"/>
        </w:rPr>
      </w:pPr>
      <w:r w:rsidRPr="00C0632D">
        <w:rPr>
          <w:rFonts w:ascii="Times New Roman" w:hAnsi="Times New Roman"/>
          <w:sz w:val="24"/>
        </w:rPr>
        <w:t xml:space="preserve">II. INVESTAVIMO </w:t>
      </w:r>
      <w:r w:rsidR="00431043" w:rsidRPr="00C0632D">
        <w:rPr>
          <w:rFonts w:ascii="Times New Roman" w:hAnsi="Times New Roman"/>
          <w:sz w:val="24"/>
        </w:rPr>
        <w:t>PRINCIPAI</w:t>
      </w:r>
    </w:p>
    <w:p w14:paraId="08B8C37B" w14:textId="77777777" w:rsidR="001B5E1D" w:rsidRPr="00C0632D" w:rsidRDefault="001B5E1D" w:rsidP="00E9352A">
      <w:pPr>
        <w:tabs>
          <w:tab w:val="num" w:pos="360"/>
        </w:tabs>
      </w:pPr>
    </w:p>
    <w:p w14:paraId="333001C7" w14:textId="77777777" w:rsidR="001D70AD" w:rsidRPr="00ED5DCE" w:rsidRDefault="001626EC" w:rsidP="00E9352A">
      <w:pPr>
        <w:numPr>
          <w:ilvl w:val="0"/>
          <w:numId w:val="1"/>
        </w:numPr>
        <w:tabs>
          <w:tab w:val="left" w:pos="993"/>
        </w:tabs>
        <w:ind w:left="0" w:firstLine="567"/>
        <w:jc w:val="both"/>
      </w:pPr>
      <w:r w:rsidRPr="00ED5DCE">
        <w:t xml:space="preserve">Draudimo įmonė, priimdama sprendimus dėl </w:t>
      </w:r>
      <w:r w:rsidR="002C3553" w:rsidRPr="00ED5DCE">
        <w:t>F</w:t>
      </w:r>
      <w:r w:rsidR="0033471C" w:rsidRPr="00ED5DCE">
        <w:t>ondų</w:t>
      </w:r>
      <w:r w:rsidR="002C3553" w:rsidRPr="00ED5DCE">
        <w:t xml:space="preserve"> lėšų</w:t>
      </w:r>
      <w:r w:rsidR="00E42199">
        <w:t xml:space="preserve"> </w:t>
      </w:r>
      <w:r w:rsidR="006C2CF2">
        <w:t>valdymo</w:t>
      </w:r>
      <w:r w:rsidR="00C71131">
        <w:t>,</w:t>
      </w:r>
      <w:r w:rsidRPr="00ED5DCE">
        <w:t xml:space="preserve"> vadovaujasi </w:t>
      </w:r>
      <w:r w:rsidR="00C71131">
        <w:t xml:space="preserve">šiais principais, išvardintais pagal svarbą: </w:t>
      </w:r>
      <w:r w:rsidR="0033471C" w:rsidRPr="00ED5DCE">
        <w:t xml:space="preserve">saugumo, likvidumo ir pelningumo. </w:t>
      </w:r>
    </w:p>
    <w:p w14:paraId="53C0FCB1" w14:textId="77777777" w:rsidR="004D52B4" w:rsidRPr="00ED5DCE" w:rsidRDefault="004D52B4" w:rsidP="001B5E1D">
      <w:pPr>
        <w:numPr>
          <w:ilvl w:val="0"/>
          <w:numId w:val="1"/>
        </w:numPr>
        <w:tabs>
          <w:tab w:val="left" w:pos="993"/>
        </w:tabs>
        <w:ind w:left="0" w:firstLine="567"/>
        <w:jc w:val="both"/>
      </w:pPr>
      <w:r w:rsidRPr="00ED5DCE">
        <w:t>Vadovaujantis saugumo principu</w:t>
      </w:r>
      <w:r w:rsidR="000B766F">
        <w:t>,</w:t>
      </w:r>
      <w:r w:rsidR="002C3553" w:rsidRPr="00ED5DCE">
        <w:t xml:space="preserve"> </w:t>
      </w:r>
      <w:r w:rsidR="000B766F">
        <w:t>F</w:t>
      </w:r>
      <w:r w:rsidR="002C3553" w:rsidRPr="00ED5DCE">
        <w:t xml:space="preserve">ondų lėšos </w:t>
      </w:r>
      <w:r w:rsidR="00D91778">
        <w:t xml:space="preserve">valdomos </w:t>
      </w:r>
      <w:r w:rsidR="0080150E" w:rsidRPr="00746BDC">
        <w:t>siekiant minimizuoti neigiamą investicijų vertės pokytį</w:t>
      </w:r>
      <w:r w:rsidR="0080150E">
        <w:t xml:space="preserve"> ir investuojama į tokio patikimumo priemones, kurių įsipareigojimų </w:t>
      </w:r>
      <w:r w:rsidR="004C5C11">
        <w:t>ne</w:t>
      </w:r>
      <w:r w:rsidR="0080150E">
        <w:t xml:space="preserve">vykdymo tikimybė yra maža, kaip tai apibrėžta </w:t>
      </w:r>
      <w:r w:rsidR="00735A7C">
        <w:t>Taisyklėse</w:t>
      </w:r>
      <w:r w:rsidRPr="00ED5DCE">
        <w:t xml:space="preserve">. </w:t>
      </w:r>
    </w:p>
    <w:p w14:paraId="2DAB047E" w14:textId="77777777" w:rsidR="004D52B4" w:rsidRPr="00ED5DCE" w:rsidRDefault="004D52B4" w:rsidP="001B5E1D">
      <w:pPr>
        <w:numPr>
          <w:ilvl w:val="0"/>
          <w:numId w:val="1"/>
        </w:numPr>
        <w:tabs>
          <w:tab w:val="left" w:pos="993"/>
        </w:tabs>
        <w:ind w:left="0" w:firstLine="567"/>
        <w:jc w:val="both"/>
      </w:pPr>
      <w:r w:rsidRPr="00ED5DCE">
        <w:t xml:space="preserve">Vadovaujantis likvidumo principu, </w:t>
      </w:r>
      <w:r w:rsidR="000B766F">
        <w:t>F</w:t>
      </w:r>
      <w:r w:rsidR="002C3553" w:rsidRPr="00ED5DCE">
        <w:t xml:space="preserve">ondų lėšos </w:t>
      </w:r>
      <w:r w:rsidR="008375B2">
        <w:t xml:space="preserve">investuojamos į mažos rizikos turtą, </w:t>
      </w:r>
      <w:r w:rsidR="00D91778">
        <w:t>kurį galima parduoti už pinigus per ne ilgesnį nei indėlių draudimo išmokų ar įsipareigojim</w:t>
      </w:r>
      <w:r w:rsidR="007B15BE">
        <w:t>ų</w:t>
      </w:r>
      <w:r w:rsidR="00D91778">
        <w:t xml:space="preserve"> investuotoj</w:t>
      </w:r>
      <w:r w:rsidR="007B15BE">
        <w:t>ams</w:t>
      </w:r>
      <w:r w:rsidR="00D91778">
        <w:t xml:space="preserve"> draudimo išmokų išmokėjimo terminą, nustatytą Įstatyme. </w:t>
      </w:r>
    </w:p>
    <w:p w14:paraId="14D828B9" w14:textId="77777777" w:rsidR="004D52B4" w:rsidRPr="00ED5DCE" w:rsidRDefault="009A1B93" w:rsidP="001B5E1D">
      <w:pPr>
        <w:numPr>
          <w:ilvl w:val="0"/>
          <w:numId w:val="1"/>
        </w:numPr>
        <w:tabs>
          <w:tab w:val="left" w:pos="993"/>
        </w:tabs>
        <w:ind w:left="0" w:firstLine="567"/>
        <w:jc w:val="both"/>
      </w:pPr>
      <w:r w:rsidRPr="00ED5DCE">
        <w:t>Vadovaujantis pelningumo principu</w:t>
      </w:r>
      <w:r w:rsidR="000B766F">
        <w:t>,</w:t>
      </w:r>
      <w:r w:rsidRPr="00ED5DCE">
        <w:t xml:space="preserve"> investuojant </w:t>
      </w:r>
      <w:r w:rsidR="000B766F">
        <w:t>F</w:t>
      </w:r>
      <w:r w:rsidRPr="00ED5DCE">
        <w:t>ondų lėšas siekiama didžiausios grąžos</w:t>
      </w:r>
      <w:r w:rsidR="008033A1">
        <w:t>, kurios būtų galima tikėtis iš investicijų, prioritetiškai laikantis saugumo ir likvidumo principų</w:t>
      </w:r>
      <w:r w:rsidRPr="00ED5DCE">
        <w:t xml:space="preserve">. </w:t>
      </w:r>
    </w:p>
    <w:p w14:paraId="439EF79B" w14:textId="77777777" w:rsidR="00D6055F" w:rsidRPr="00D6055F" w:rsidRDefault="00D6055F" w:rsidP="00D6055F">
      <w:pPr>
        <w:numPr>
          <w:ilvl w:val="0"/>
          <w:numId w:val="1"/>
        </w:numPr>
        <w:tabs>
          <w:tab w:val="left" w:pos="993"/>
        </w:tabs>
        <w:ind w:left="0" w:firstLine="567"/>
        <w:jc w:val="both"/>
      </w:pPr>
      <w:r w:rsidRPr="00D6055F">
        <w:t xml:space="preserve">Draudimo įmonė </w:t>
      </w:r>
      <w:r>
        <w:t xml:space="preserve">Fondų </w:t>
      </w:r>
      <w:r w:rsidRPr="00D6055F">
        <w:t xml:space="preserve">investicijų į vertybinius popierius paslaugoms, tokioms kaip finansinių priemonių ir piniginių lėšų saugojimas ir apskaita, pavedimų priėmimas ir vykdymas, pirkti Lietuvos Respublikos viešųjų pirkimų </w:t>
      </w:r>
      <w:r>
        <w:t xml:space="preserve">įstatymo </w:t>
      </w:r>
      <w:r w:rsidRPr="00D6055F">
        <w:t>nustatyta tvarka pasirenka banką arba finansų maklerio įmonę</w:t>
      </w:r>
      <w:r w:rsidR="00347148">
        <w:t>, turinčią teisę dalyvauti Lietuvos Respublikos Vyriausybės vertybinių popierių au</w:t>
      </w:r>
      <w:r w:rsidR="008A0588">
        <w:t>k</w:t>
      </w:r>
      <w:r w:rsidR="00347148">
        <w:t>cionuose</w:t>
      </w:r>
      <w:r w:rsidR="009A2E7E" w:rsidRPr="00E2502C">
        <w:t xml:space="preserve"> </w:t>
      </w:r>
      <w:r w:rsidRPr="00E2502C">
        <w:t>.</w:t>
      </w:r>
    </w:p>
    <w:p w14:paraId="448DCA34" w14:textId="77777777" w:rsidR="004D52B4" w:rsidRPr="00ED5DCE" w:rsidRDefault="004D52B4" w:rsidP="00E9352A">
      <w:pPr>
        <w:tabs>
          <w:tab w:val="left" w:pos="993"/>
        </w:tabs>
        <w:ind w:left="567"/>
        <w:jc w:val="both"/>
      </w:pPr>
    </w:p>
    <w:p w14:paraId="0E92FF04" w14:textId="77777777" w:rsidR="0075592C" w:rsidRPr="004D52B4" w:rsidRDefault="0075592C" w:rsidP="003B6C97">
      <w:pPr>
        <w:tabs>
          <w:tab w:val="left" w:pos="900"/>
        </w:tabs>
        <w:ind w:left="567"/>
        <w:jc w:val="both"/>
      </w:pPr>
    </w:p>
    <w:p w14:paraId="384DF2ED" w14:textId="77777777" w:rsidR="009E2FF6" w:rsidRPr="00C0632D" w:rsidRDefault="00ED5DCE" w:rsidP="00DF3A17">
      <w:pPr>
        <w:pStyle w:val="Heading3"/>
        <w:spacing w:before="0" w:after="0"/>
        <w:jc w:val="center"/>
        <w:rPr>
          <w:rFonts w:ascii="Times New Roman" w:hAnsi="Times New Roman"/>
          <w:sz w:val="24"/>
        </w:rPr>
      </w:pPr>
      <w:r>
        <w:rPr>
          <w:rFonts w:ascii="Times New Roman" w:hAnsi="Times New Roman"/>
          <w:sz w:val="24"/>
        </w:rPr>
        <w:t>II</w:t>
      </w:r>
      <w:r w:rsidR="009E2FF6" w:rsidRPr="00C0632D">
        <w:rPr>
          <w:rFonts w:ascii="Times New Roman" w:hAnsi="Times New Roman"/>
          <w:sz w:val="24"/>
        </w:rPr>
        <w:t xml:space="preserve">I. INVESTAVIMO </w:t>
      </w:r>
      <w:r>
        <w:rPr>
          <w:rFonts w:ascii="Times New Roman" w:hAnsi="Times New Roman"/>
          <w:sz w:val="24"/>
        </w:rPr>
        <w:t>KRITERIJAI</w:t>
      </w:r>
    </w:p>
    <w:p w14:paraId="216D49F6" w14:textId="77777777" w:rsidR="00706B7D" w:rsidRPr="00C0632D" w:rsidRDefault="00706B7D" w:rsidP="00DF3A17">
      <w:pPr>
        <w:jc w:val="both"/>
      </w:pPr>
    </w:p>
    <w:p w14:paraId="78BB305D" w14:textId="77777777" w:rsidR="00AA7697" w:rsidRPr="003673B7" w:rsidRDefault="00332213" w:rsidP="00A95007">
      <w:pPr>
        <w:numPr>
          <w:ilvl w:val="0"/>
          <w:numId w:val="1"/>
        </w:numPr>
        <w:tabs>
          <w:tab w:val="left" w:pos="993"/>
        </w:tabs>
        <w:ind w:left="0" w:firstLine="567"/>
        <w:jc w:val="both"/>
      </w:pPr>
      <w:r w:rsidRPr="003673B7">
        <w:t xml:space="preserve">Indėlių draudimo fondo ir </w:t>
      </w:r>
      <w:r w:rsidR="007B15BE">
        <w:t>Į</w:t>
      </w:r>
      <w:r w:rsidRPr="003673B7">
        <w:t xml:space="preserve">sipareigojimų investuotojams draudimo fondo lėšos investuojamos tik atskaičius atlyginimą už kiekvieno iš šių fondų administravimą teisės aktų nustatyta tvarka. </w:t>
      </w:r>
      <w:r w:rsidR="00091835" w:rsidRPr="003673B7">
        <w:t>Investuo</w:t>
      </w:r>
      <w:r w:rsidR="00397656">
        <w:t>tin</w:t>
      </w:r>
      <w:r w:rsidR="00091835" w:rsidRPr="003673B7">
        <w:t xml:space="preserve">ų </w:t>
      </w:r>
      <w:r w:rsidR="00AA7697" w:rsidRPr="003673B7">
        <w:t xml:space="preserve">Indėlių draudimo fondo ir </w:t>
      </w:r>
      <w:r w:rsidR="005D1BCB">
        <w:t>Į</w:t>
      </w:r>
      <w:r w:rsidR="005D1BCB" w:rsidRPr="003673B7">
        <w:t xml:space="preserve">sipareigojimų </w:t>
      </w:r>
      <w:r w:rsidR="00AA7697" w:rsidRPr="003673B7">
        <w:t>investuotojams draudimo fondo</w:t>
      </w:r>
      <w:r w:rsidR="00D2368C">
        <w:t xml:space="preserve"> finansiniai ištekliai </w:t>
      </w:r>
      <w:r w:rsidR="00A621D1">
        <w:t xml:space="preserve">(išskyrus mokėjimo įsipareigojimus Indėlių draudimo fondui) </w:t>
      </w:r>
      <w:r w:rsidR="00D2368C">
        <w:t>gali būti investuojami į</w:t>
      </w:r>
      <w:r w:rsidR="00AA7697" w:rsidRPr="003673B7">
        <w:t xml:space="preserve">: </w:t>
      </w:r>
    </w:p>
    <w:p w14:paraId="403B635C" w14:textId="77777777" w:rsidR="00AA7697" w:rsidRPr="0040002A" w:rsidRDefault="00E424F2" w:rsidP="005B4E26">
      <w:pPr>
        <w:numPr>
          <w:ilvl w:val="1"/>
          <w:numId w:val="1"/>
        </w:numPr>
        <w:tabs>
          <w:tab w:val="left" w:pos="993"/>
        </w:tabs>
        <w:ind w:left="0" w:firstLine="567"/>
        <w:jc w:val="both"/>
      </w:pPr>
      <w:r>
        <w:t>p</w:t>
      </w:r>
      <w:r w:rsidR="00AA7697" w:rsidRPr="00B45416">
        <w:t>inig</w:t>
      </w:r>
      <w:r w:rsidR="00E42199" w:rsidRPr="00B45416">
        <w:t>in</w:t>
      </w:r>
      <w:r w:rsidR="00D2368C" w:rsidRPr="00B45416">
        <w:t>es</w:t>
      </w:r>
      <w:r w:rsidR="00E42199" w:rsidRPr="00B45416">
        <w:t xml:space="preserve"> lėš</w:t>
      </w:r>
      <w:r w:rsidR="00D2368C" w:rsidRPr="00B45416">
        <w:t>as</w:t>
      </w:r>
      <w:r w:rsidR="00981E4C">
        <w:t xml:space="preserve"> </w:t>
      </w:r>
      <w:r w:rsidR="00981E4C" w:rsidRPr="00155080">
        <w:t>eurais</w:t>
      </w:r>
      <w:r w:rsidR="00D2368C" w:rsidRPr="00155080">
        <w:t xml:space="preserve"> </w:t>
      </w:r>
      <w:r w:rsidR="006C7605" w:rsidRPr="00155080">
        <w:t>bank</w:t>
      </w:r>
      <w:r w:rsidR="00947F84">
        <w:t>ų</w:t>
      </w:r>
      <w:r w:rsidR="006C7605" w:rsidRPr="00155080">
        <w:t xml:space="preserve"> </w:t>
      </w:r>
      <w:r w:rsidR="00D2368C" w:rsidRPr="00155080">
        <w:t>sąskaitose</w:t>
      </w:r>
      <w:r w:rsidR="006C7605" w:rsidRPr="00155080">
        <w:t xml:space="preserve"> arba indėlius</w:t>
      </w:r>
      <w:r w:rsidR="00947F84">
        <w:t xml:space="preserve">, </w:t>
      </w:r>
      <w:r w:rsidR="00A444EE" w:rsidRPr="0040002A">
        <w:t>įskaitant pinigines lėšas sąskaitose</w:t>
      </w:r>
      <w:r w:rsidR="00947F84" w:rsidRPr="0040002A">
        <w:t xml:space="preserve"> ir </w:t>
      </w:r>
      <w:r w:rsidR="00A444EE" w:rsidRPr="0040002A">
        <w:t xml:space="preserve">(arba) indėlius </w:t>
      </w:r>
      <w:r w:rsidR="00947F84" w:rsidRPr="0040002A">
        <w:t>Lietuvos banke</w:t>
      </w:r>
      <w:r w:rsidR="00AA7697" w:rsidRPr="0040002A">
        <w:t>;</w:t>
      </w:r>
    </w:p>
    <w:p w14:paraId="415F98C3" w14:textId="77777777" w:rsidR="00AA7697" w:rsidRPr="00155080" w:rsidRDefault="00E424F2" w:rsidP="005B4E26">
      <w:pPr>
        <w:numPr>
          <w:ilvl w:val="1"/>
          <w:numId w:val="1"/>
        </w:numPr>
        <w:tabs>
          <w:tab w:val="left" w:pos="993"/>
        </w:tabs>
        <w:ind w:left="0" w:firstLine="567"/>
        <w:jc w:val="both"/>
      </w:pPr>
      <w:r>
        <w:t>v</w:t>
      </w:r>
      <w:r w:rsidR="00AA7697" w:rsidRPr="00155080">
        <w:t>yriausybių vertybini</w:t>
      </w:r>
      <w:r w:rsidR="00D2368C" w:rsidRPr="00155080">
        <w:t>us</w:t>
      </w:r>
      <w:r w:rsidR="00AA7697" w:rsidRPr="00155080">
        <w:t xml:space="preserve"> popieri</w:t>
      </w:r>
      <w:r w:rsidR="00D2368C" w:rsidRPr="00155080">
        <w:t>us</w:t>
      </w:r>
      <w:r w:rsidR="00981E4C" w:rsidRPr="00155080">
        <w:t xml:space="preserve"> </w:t>
      </w:r>
      <w:r w:rsidR="00991304" w:rsidRPr="00155080">
        <w:t xml:space="preserve">denominuotus </w:t>
      </w:r>
      <w:r w:rsidR="00981E4C" w:rsidRPr="00155080">
        <w:t>eurais</w:t>
      </w:r>
      <w:r w:rsidR="00AA7697" w:rsidRPr="00155080">
        <w:t>.</w:t>
      </w:r>
    </w:p>
    <w:p w14:paraId="0B74509A" w14:textId="77777777" w:rsidR="00F90A93" w:rsidRPr="005425A7" w:rsidRDefault="00C03D6D" w:rsidP="00AA7697">
      <w:pPr>
        <w:numPr>
          <w:ilvl w:val="0"/>
          <w:numId w:val="1"/>
        </w:numPr>
        <w:tabs>
          <w:tab w:val="left" w:pos="993"/>
        </w:tabs>
        <w:ind w:left="0" w:firstLine="567"/>
        <w:jc w:val="both"/>
      </w:pPr>
      <w:r w:rsidRPr="005425A7">
        <w:t xml:space="preserve">Reikalavimai dėl </w:t>
      </w:r>
      <w:r w:rsidR="00BF115F" w:rsidRPr="005425A7">
        <w:t xml:space="preserve">piniginių </w:t>
      </w:r>
      <w:r w:rsidR="000E2F67" w:rsidRPr="005425A7">
        <w:t xml:space="preserve">lėšų </w:t>
      </w:r>
      <w:r w:rsidR="004D331F" w:rsidRPr="005425A7">
        <w:t xml:space="preserve">ir indėlių </w:t>
      </w:r>
      <w:r w:rsidR="00A771FD" w:rsidRPr="005425A7">
        <w:t>valdymo</w:t>
      </w:r>
      <w:r w:rsidR="001626EC" w:rsidRPr="005425A7">
        <w:t>:</w:t>
      </w:r>
    </w:p>
    <w:p w14:paraId="0844DCAB" w14:textId="77777777" w:rsidR="00F4799B" w:rsidRPr="00275359" w:rsidRDefault="00E424F2" w:rsidP="005B4E26">
      <w:pPr>
        <w:numPr>
          <w:ilvl w:val="1"/>
          <w:numId w:val="1"/>
        </w:numPr>
        <w:tabs>
          <w:tab w:val="left" w:pos="993"/>
        </w:tabs>
        <w:ind w:left="0" w:firstLine="567"/>
        <w:jc w:val="both"/>
      </w:pPr>
      <w:bookmarkStart w:id="1" w:name="_Hlk527467693"/>
      <w:r>
        <w:t>f</w:t>
      </w:r>
      <w:r w:rsidR="00C03D6D" w:rsidRPr="005425A7">
        <w:t xml:space="preserve">ondų lėšos gali būti saugomos kaip </w:t>
      </w:r>
      <w:r w:rsidR="00F90A93" w:rsidRPr="005425A7">
        <w:t>pinig</w:t>
      </w:r>
      <w:r w:rsidR="00C03D6D" w:rsidRPr="005425A7">
        <w:t xml:space="preserve">inės lėšos </w:t>
      </w:r>
      <w:r w:rsidR="005425A7" w:rsidRPr="00B45416">
        <w:t>banko sąskaitose</w:t>
      </w:r>
      <w:r w:rsidR="00F90A93">
        <w:t xml:space="preserve"> ir</w:t>
      </w:r>
      <w:r w:rsidR="00C03D6D">
        <w:t xml:space="preserve"> (arba)</w:t>
      </w:r>
      <w:r w:rsidR="00F90A93">
        <w:t xml:space="preserve"> terminuot</w:t>
      </w:r>
      <w:r w:rsidR="00C03D6D">
        <w:t>ieji</w:t>
      </w:r>
      <w:r w:rsidR="00F90A93">
        <w:t xml:space="preserve"> </w:t>
      </w:r>
      <w:bookmarkStart w:id="2" w:name="_Hlk527467893"/>
      <w:r w:rsidR="00F90A93">
        <w:t>indėli</w:t>
      </w:r>
      <w:r w:rsidR="00C03D6D">
        <w:t>ai</w:t>
      </w:r>
      <w:r w:rsidR="00864A5F">
        <w:t xml:space="preserve"> </w:t>
      </w:r>
      <w:bookmarkEnd w:id="1"/>
      <w:r w:rsidR="00BC2628">
        <w:t>Europos Sąjungos valstybių narių</w:t>
      </w:r>
      <w:r w:rsidR="001B5E1D">
        <w:t>,</w:t>
      </w:r>
      <w:r w:rsidR="00B37F1A">
        <w:t xml:space="preserve"> Šveicarijos</w:t>
      </w:r>
      <w:r w:rsidR="00B37F1A" w:rsidRPr="00C0632D">
        <w:t xml:space="preserve"> ir Europos ekonominės erdvės valstybių</w:t>
      </w:r>
      <w:r w:rsidR="00B37F1A">
        <w:t xml:space="preserve"> </w:t>
      </w:r>
      <w:r w:rsidR="00864A5F">
        <w:t>bankuose</w:t>
      </w:r>
      <w:r w:rsidR="00681B9B">
        <w:t xml:space="preserve"> ar </w:t>
      </w:r>
      <w:r w:rsidR="00BC2628">
        <w:t>jų</w:t>
      </w:r>
      <w:r w:rsidR="00681B9B">
        <w:t xml:space="preserve"> filialuose</w:t>
      </w:r>
      <w:bookmarkEnd w:id="2"/>
      <w:r w:rsidR="00864A5F">
        <w:t xml:space="preserve">, kuriems </w:t>
      </w:r>
      <w:r w:rsidR="00864A5F" w:rsidRPr="00A0603D">
        <w:t>Moody's</w:t>
      </w:r>
      <w:r w:rsidR="00864A5F">
        <w:t xml:space="preserve">, </w:t>
      </w:r>
      <w:r w:rsidR="00864A5F" w:rsidRPr="00A0603D">
        <w:t>S&amp;P</w:t>
      </w:r>
      <w:r w:rsidR="00864A5F">
        <w:t xml:space="preserve"> ar </w:t>
      </w:r>
      <w:r w:rsidR="00864A5F" w:rsidRPr="00A0603D">
        <w:t>Fitch Ratings</w:t>
      </w:r>
      <w:r w:rsidR="00864A5F">
        <w:t xml:space="preserve"> agent</w:t>
      </w:r>
      <w:r w:rsidR="00864A5F" w:rsidRPr="00275359">
        <w:t>ū</w:t>
      </w:r>
      <w:r w:rsidR="00864A5F">
        <w:t>r</w:t>
      </w:r>
      <w:r w:rsidR="00864A5F" w:rsidRPr="00275359">
        <w:t xml:space="preserve">ų </w:t>
      </w:r>
      <w:r w:rsidR="00864A5F">
        <w:t>suteiktas galiojantis ilgalaikis investicinis reitingas</w:t>
      </w:r>
      <w:r w:rsidR="00864A5F" w:rsidRPr="00427ECC">
        <w:t xml:space="preserve"> </w:t>
      </w:r>
      <w:r w:rsidR="00C86719" w:rsidRPr="003673B7">
        <w:t>yra</w:t>
      </w:r>
      <w:r w:rsidR="00864A5F" w:rsidRPr="003673B7">
        <w:t xml:space="preserve"> ne žemesnis kaip </w:t>
      </w:r>
      <w:bookmarkStart w:id="3" w:name="_Hlk527467839"/>
      <w:r w:rsidR="007C4EA8" w:rsidRPr="00CB3D8B">
        <w:t>Baa</w:t>
      </w:r>
      <w:r w:rsidR="00CB3D8B" w:rsidRPr="00CB3D8B">
        <w:t>1</w:t>
      </w:r>
      <w:r w:rsidR="007C4EA8" w:rsidRPr="00CB3D8B">
        <w:t xml:space="preserve"> </w:t>
      </w:r>
      <w:r w:rsidR="00864A5F" w:rsidRPr="00275359">
        <w:t>(</w:t>
      </w:r>
      <w:proofErr w:type="spellStart"/>
      <w:r w:rsidR="00864A5F" w:rsidRPr="00275359">
        <w:t>Moody's</w:t>
      </w:r>
      <w:proofErr w:type="spellEnd"/>
      <w:r w:rsidR="00864A5F" w:rsidRPr="00275359">
        <w:t xml:space="preserve">) ar </w:t>
      </w:r>
      <w:r w:rsidR="007C4EA8" w:rsidRPr="00CB3D8B">
        <w:t>BBB</w:t>
      </w:r>
      <w:r w:rsidR="00CB3D8B">
        <w:t>+</w:t>
      </w:r>
      <w:r w:rsidR="007C4EA8">
        <w:t xml:space="preserve"> </w:t>
      </w:r>
      <w:r w:rsidR="00864A5F" w:rsidRPr="00275359">
        <w:t>(</w:t>
      </w:r>
      <w:proofErr w:type="spellStart"/>
      <w:r w:rsidR="00864A5F" w:rsidRPr="00275359">
        <w:t>Fitch</w:t>
      </w:r>
      <w:proofErr w:type="spellEnd"/>
      <w:r w:rsidR="00864A5F" w:rsidRPr="003673B7">
        <w:t xml:space="preserve"> </w:t>
      </w:r>
      <w:proofErr w:type="spellStart"/>
      <w:r w:rsidR="00864A5F" w:rsidRPr="003673B7">
        <w:t>Ratings</w:t>
      </w:r>
      <w:proofErr w:type="spellEnd"/>
      <w:r w:rsidR="00864A5F" w:rsidRPr="00275359">
        <w:t xml:space="preserve"> ir S&amp;P)</w:t>
      </w:r>
      <w:bookmarkEnd w:id="3"/>
      <w:r w:rsidR="00133982" w:rsidRPr="00275359">
        <w:t>. Tuo atveju, jei bankui reitingas nesuteiktas, atsižvelgiama į patronuojančiam bankui suteiktą reitingą</w:t>
      </w:r>
      <w:r w:rsidR="00223D7B" w:rsidRPr="00275359">
        <w:t>:</w:t>
      </w:r>
    </w:p>
    <w:p w14:paraId="54D252DA" w14:textId="77777777" w:rsidR="00F4799B" w:rsidRPr="00275359" w:rsidRDefault="00F4799B" w:rsidP="00275359">
      <w:pPr>
        <w:ind w:firstLine="567"/>
        <w:jc w:val="both"/>
      </w:pPr>
      <w:r w:rsidRPr="00275359">
        <w:lastRenderedPageBreak/>
        <w:t xml:space="preserve">10.1.1. </w:t>
      </w:r>
      <w:r w:rsidR="00074B4E">
        <w:t>k</w:t>
      </w:r>
      <w:r w:rsidRPr="00275359">
        <w:t>ai bankui ar užsienio banko filialą Lietuvoje įsteigusiam komerciniam bankui yra suteiktas reitingas ne žemesnis kaip A3 (</w:t>
      </w:r>
      <w:proofErr w:type="spellStart"/>
      <w:r w:rsidRPr="00275359">
        <w:t>Moody's</w:t>
      </w:r>
      <w:proofErr w:type="spellEnd"/>
      <w:r w:rsidRPr="00275359">
        <w:t>) ar A- (</w:t>
      </w:r>
      <w:proofErr w:type="spellStart"/>
      <w:r w:rsidRPr="00275359">
        <w:t>Fitch</w:t>
      </w:r>
      <w:proofErr w:type="spellEnd"/>
      <w:r w:rsidRPr="00802EE8">
        <w:t xml:space="preserve"> </w:t>
      </w:r>
      <w:proofErr w:type="spellStart"/>
      <w:r w:rsidRPr="00802EE8">
        <w:t>Ratings</w:t>
      </w:r>
      <w:proofErr w:type="spellEnd"/>
      <w:r w:rsidRPr="00275359">
        <w:t xml:space="preserve"> ir S&amp;P), jame gali būti saugoma ne daugiau kaip </w:t>
      </w:r>
      <w:r w:rsidR="004712C7" w:rsidRPr="00275359">
        <w:t>3</w:t>
      </w:r>
      <w:r w:rsidRPr="00275359">
        <w:t>0 proc. fondo lėšų</w:t>
      </w:r>
      <w:r w:rsidR="00223D7B" w:rsidRPr="00275359">
        <w:t>;</w:t>
      </w:r>
    </w:p>
    <w:p w14:paraId="23C16105" w14:textId="77777777" w:rsidR="00D82E87" w:rsidRDefault="00F4799B" w:rsidP="00275359">
      <w:pPr>
        <w:ind w:firstLine="567"/>
        <w:jc w:val="both"/>
      </w:pPr>
      <w:r w:rsidRPr="00275359">
        <w:t xml:space="preserve">10.1.2. </w:t>
      </w:r>
      <w:bookmarkStart w:id="4" w:name="_Hlk527556277"/>
      <w:r w:rsidR="00E424F2">
        <w:t>k</w:t>
      </w:r>
      <w:r w:rsidR="00805817" w:rsidRPr="00275359">
        <w:t xml:space="preserve">ai bankui ar </w:t>
      </w:r>
      <w:r w:rsidRPr="00275359">
        <w:t xml:space="preserve">užsienio </w:t>
      </w:r>
      <w:r w:rsidR="00805817" w:rsidRPr="00275359">
        <w:t>banko filial</w:t>
      </w:r>
      <w:r w:rsidRPr="00275359">
        <w:t>ą Lietuvoje įsteigusiam komerciniam bankui yra</w:t>
      </w:r>
      <w:r w:rsidR="00805817" w:rsidRPr="00275359">
        <w:t xml:space="preserve"> suteiktas reitingas</w:t>
      </w:r>
      <w:r w:rsidRPr="00275359">
        <w:t xml:space="preserve"> </w:t>
      </w:r>
      <w:r w:rsidR="007C4EA8" w:rsidRPr="00CB3D8B">
        <w:t>Baa</w:t>
      </w:r>
      <w:r w:rsidR="00CB3D8B">
        <w:t>1</w:t>
      </w:r>
      <w:r w:rsidR="007C4EA8">
        <w:t xml:space="preserve"> </w:t>
      </w:r>
      <w:r w:rsidR="00805817" w:rsidRPr="00275359">
        <w:t>(</w:t>
      </w:r>
      <w:proofErr w:type="spellStart"/>
      <w:r w:rsidR="00805817" w:rsidRPr="00275359">
        <w:t>Moody's</w:t>
      </w:r>
      <w:proofErr w:type="spellEnd"/>
      <w:r w:rsidR="00805817" w:rsidRPr="00275359">
        <w:t xml:space="preserve">) ar </w:t>
      </w:r>
      <w:r w:rsidR="007C4EA8" w:rsidRPr="00CB3D8B">
        <w:t>BBB</w:t>
      </w:r>
      <w:r w:rsidR="00CB3D8B">
        <w:t>+</w:t>
      </w:r>
      <w:r w:rsidR="007C4EA8">
        <w:t xml:space="preserve"> </w:t>
      </w:r>
      <w:r w:rsidR="00805817" w:rsidRPr="00275359">
        <w:t>(</w:t>
      </w:r>
      <w:proofErr w:type="spellStart"/>
      <w:r w:rsidR="00805817" w:rsidRPr="00275359">
        <w:t>Fitch</w:t>
      </w:r>
      <w:proofErr w:type="spellEnd"/>
      <w:r w:rsidR="00805817" w:rsidRPr="00802EE8">
        <w:t xml:space="preserve"> </w:t>
      </w:r>
      <w:proofErr w:type="spellStart"/>
      <w:r w:rsidR="00805817" w:rsidRPr="00802EE8">
        <w:t>Ratings</w:t>
      </w:r>
      <w:proofErr w:type="spellEnd"/>
      <w:r w:rsidR="00805817" w:rsidRPr="00275359">
        <w:t xml:space="preserve"> ir S&amp;P)</w:t>
      </w:r>
      <w:r w:rsidR="00650285" w:rsidRPr="00275359">
        <w:t xml:space="preserve">, </w:t>
      </w:r>
      <w:r w:rsidRPr="00275359">
        <w:t>j</w:t>
      </w:r>
      <w:r w:rsidR="00650285" w:rsidRPr="00275359">
        <w:t xml:space="preserve">ame gali būti saugoma ne daugiau kaip </w:t>
      </w:r>
      <w:r w:rsidR="007C4EA8" w:rsidRPr="00A0619F">
        <w:t xml:space="preserve">30 </w:t>
      </w:r>
      <w:r w:rsidRPr="00A0619F">
        <w:t>proc.</w:t>
      </w:r>
      <w:r w:rsidR="00650285" w:rsidRPr="00275359">
        <w:t xml:space="preserve"> fondo lėšų</w:t>
      </w:r>
      <w:bookmarkEnd w:id="4"/>
      <w:r w:rsidR="00D82E87">
        <w:t>, laikantis tokių sąlygų:</w:t>
      </w:r>
    </w:p>
    <w:p w14:paraId="4CB3BEE7" w14:textId="77777777" w:rsidR="00D82E87" w:rsidRPr="007E0A9E" w:rsidRDefault="00D82E87" w:rsidP="00865086">
      <w:pPr>
        <w:tabs>
          <w:tab w:val="left" w:pos="0"/>
        </w:tabs>
        <w:ind w:firstLine="426"/>
        <w:jc w:val="both"/>
        <w:rPr>
          <w:rFonts w:eastAsia="Calibri"/>
          <w:lang w:eastAsia="en-US"/>
        </w:rPr>
      </w:pPr>
      <w:r w:rsidRPr="00D82E87">
        <w:rPr>
          <w:rFonts w:eastAsia="Calibri"/>
          <w:b/>
          <w:lang w:eastAsia="en-US"/>
        </w:rPr>
        <w:t xml:space="preserve"> </w:t>
      </w:r>
      <w:r w:rsidRPr="007E0A9E">
        <w:rPr>
          <w:rFonts w:eastAsia="Calibri"/>
          <w:lang w:eastAsia="en-US"/>
        </w:rPr>
        <w:t xml:space="preserve">10.1.2.1. </w:t>
      </w:r>
      <w:r w:rsidR="00074B4E" w:rsidRPr="00A0619F">
        <w:rPr>
          <w:rFonts w:eastAsia="Calibri"/>
          <w:lang w:eastAsia="en-US"/>
        </w:rPr>
        <w:t>b</w:t>
      </w:r>
      <w:r w:rsidRPr="00A0619F">
        <w:rPr>
          <w:rFonts w:eastAsia="Calibri"/>
          <w:lang w:eastAsia="en-US"/>
        </w:rPr>
        <w:t>ank</w:t>
      </w:r>
      <w:r w:rsidR="00CB3D8B" w:rsidRPr="00A0619F">
        <w:rPr>
          <w:rFonts w:eastAsia="Calibri"/>
          <w:lang w:eastAsia="en-US"/>
        </w:rPr>
        <w:t>as turi vykdyti</w:t>
      </w:r>
      <w:r w:rsidRPr="00A0619F">
        <w:rPr>
          <w:rFonts w:eastAsia="Calibri"/>
          <w:lang w:eastAsia="en-US"/>
        </w:rPr>
        <w:t xml:space="preserve"> kapitalo pakankamumo </w:t>
      </w:r>
      <w:r w:rsidR="00CB3D8B" w:rsidRPr="00A0619F">
        <w:rPr>
          <w:rFonts w:eastAsia="Calibri"/>
          <w:lang w:eastAsia="en-US"/>
        </w:rPr>
        <w:t>reikalavimus</w:t>
      </w:r>
      <w:r w:rsidRPr="007E0A9E">
        <w:rPr>
          <w:rFonts w:eastAsia="Calibri"/>
          <w:lang w:eastAsia="en-US"/>
        </w:rPr>
        <w:t>;</w:t>
      </w:r>
    </w:p>
    <w:p w14:paraId="26AF85B4" w14:textId="5B0D8906" w:rsidR="00E0248F" w:rsidRDefault="00865086" w:rsidP="00865086">
      <w:pPr>
        <w:tabs>
          <w:tab w:val="left" w:pos="0"/>
        </w:tabs>
        <w:ind w:firstLine="426"/>
        <w:jc w:val="both"/>
        <w:rPr>
          <w:rFonts w:eastAsia="Calibri"/>
          <w:lang w:eastAsia="en-US"/>
        </w:rPr>
      </w:pPr>
      <w:r>
        <w:rPr>
          <w:rFonts w:eastAsia="Calibri"/>
          <w:lang w:eastAsia="en-US"/>
        </w:rPr>
        <w:t xml:space="preserve"> </w:t>
      </w:r>
      <w:r w:rsidR="00D82E87" w:rsidRPr="007E0A9E">
        <w:rPr>
          <w:rFonts w:eastAsia="Calibri"/>
          <w:lang w:eastAsia="en-US"/>
        </w:rPr>
        <w:t>10.1.2.</w:t>
      </w:r>
      <w:r w:rsidR="0053422F">
        <w:rPr>
          <w:rFonts w:eastAsia="Calibri"/>
          <w:lang w:eastAsia="en-US"/>
        </w:rPr>
        <w:t>2</w:t>
      </w:r>
      <w:r w:rsidR="00D82E87" w:rsidRPr="007E0A9E">
        <w:rPr>
          <w:rFonts w:eastAsia="Calibri"/>
          <w:lang w:eastAsia="en-US"/>
        </w:rPr>
        <w:t xml:space="preserve">. </w:t>
      </w:r>
      <w:r w:rsidR="00E0248F" w:rsidRPr="00E0248F">
        <w:rPr>
          <w:rFonts w:eastAsia="Calibri"/>
          <w:lang w:eastAsia="en-US"/>
        </w:rPr>
        <w:t>už lėšų laikymą bank</w:t>
      </w:r>
      <w:r w:rsidR="000E3480">
        <w:rPr>
          <w:rFonts w:eastAsia="Calibri"/>
          <w:lang w:eastAsia="en-US"/>
        </w:rPr>
        <w:t>ų</w:t>
      </w:r>
      <w:r w:rsidR="00E0248F" w:rsidRPr="00E0248F">
        <w:rPr>
          <w:rFonts w:eastAsia="Calibri"/>
          <w:lang w:eastAsia="en-US"/>
        </w:rPr>
        <w:t xml:space="preserve"> </w:t>
      </w:r>
      <w:r w:rsidR="000E3480" w:rsidRPr="000E3480">
        <w:rPr>
          <w:rFonts w:eastAsia="Calibri"/>
          <w:lang w:eastAsia="en-US"/>
        </w:rPr>
        <w:t xml:space="preserve">ar jų filialų </w:t>
      </w:r>
      <w:r w:rsidR="00E0248F" w:rsidRPr="00E0248F">
        <w:rPr>
          <w:rFonts w:eastAsia="Calibri"/>
          <w:lang w:eastAsia="en-US"/>
        </w:rPr>
        <w:t xml:space="preserve">sąskaitose netaikomos neigiamos palūkanos arba, jei taikomos neigiamos palūkanos, jos yra 20 bazinių punktų didesnės negu 10.1.1 papunktyje nustatytų bankų </w:t>
      </w:r>
      <w:r w:rsidR="000E3480" w:rsidRPr="000E3480">
        <w:rPr>
          <w:rFonts w:eastAsia="Calibri"/>
          <w:lang w:eastAsia="en-US"/>
        </w:rPr>
        <w:t>ar jų filialų</w:t>
      </w:r>
      <w:r w:rsidR="000E3480">
        <w:rPr>
          <w:rFonts w:eastAsia="Calibri"/>
          <w:lang w:eastAsia="en-US"/>
        </w:rPr>
        <w:t>,</w:t>
      </w:r>
      <w:r w:rsidR="000E3480" w:rsidRPr="000E3480">
        <w:rPr>
          <w:rFonts w:eastAsia="Calibri"/>
          <w:lang w:eastAsia="en-US"/>
        </w:rPr>
        <w:t xml:space="preserve"> </w:t>
      </w:r>
      <w:r w:rsidR="00E0248F" w:rsidRPr="00E0248F">
        <w:rPr>
          <w:rFonts w:eastAsia="Calibri"/>
          <w:lang w:eastAsia="en-US"/>
        </w:rPr>
        <w:t>ar Lietuvos banko</w:t>
      </w:r>
      <w:r w:rsidR="00E0248F">
        <w:rPr>
          <w:rFonts w:eastAsia="Calibri"/>
          <w:lang w:eastAsia="en-US"/>
        </w:rPr>
        <w:t>;</w:t>
      </w:r>
    </w:p>
    <w:p w14:paraId="36A8FF71" w14:textId="77777777" w:rsidR="00681B9B" w:rsidRDefault="00E0248F" w:rsidP="00865086">
      <w:pPr>
        <w:tabs>
          <w:tab w:val="left" w:pos="0"/>
        </w:tabs>
        <w:ind w:firstLine="567"/>
        <w:jc w:val="both"/>
        <w:rPr>
          <w:rFonts w:eastAsia="Calibri"/>
          <w:lang w:eastAsia="en-US"/>
        </w:rPr>
      </w:pPr>
      <w:r>
        <w:rPr>
          <w:rFonts w:eastAsia="Calibri"/>
          <w:lang w:val="en-US" w:eastAsia="en-US"/>
        </w:rPr>
        <w:t xml:space="preserve">10.1.2.3. </w:t>
      </w:r>
      <w:r w:rsidR="00E424F2">
        <w:rPr>
          <w:rFonts w:eastAsia="Calibri"/>
          <w:lang w:eastAsia="en-US"/>
        </w:rPr>
        <w:t>b</w:t>
      </w:r>
      <w:r w:rsidR="00D82E87" w:rsidRPr="007E0A9E">
        <w:rPr>
          <w:rFonts w:eastAsia="Calibri"/>
          <w:lang w:eastAsia="en-US"/>
        </w:rPr>
        <w:t>ankai, nurodyti Taisyklių 10.1.1. papunktyje taiko neigiamas palūkanas arba palūkanų nemoka.</w:t>
      </w:r>
    </w:p>
    <w:p w14:paraId="0C5C5C9C" w14:textId="77777777" w:rsidR="00E0248F" w:rsidRPr="00E0248F" w:rsidRDefault="00E0248F" w:rsidP="007E0A9E">
      <w:pPr>
        <w:tabs>
          <w:tab w:val="left" w:pos="0"/>
        </w:tabs>
        <w:ind w:firstLine="709"/>
        <w:jc w:val="both"/>
        <w:rPr>
          <w:rFonts w:eastAsia="Calibri"/>
          <w:lang w:val="en-US" w:eastAsia="en-US"/>
        </w:rPr>
      </w:pPr>
    </w:p>
    <w:p w14:paraId="4E5975E2" w14:textId="77777777" w:rsidR="00E57F79" w:rsidRPr="0040002A" w:rsidRDefault="00E57F79" w:rsidP="00865086">
      <w:pPr>
        <w:numPr>
          <w:ilvl w:val="1"/>
          <w:numId w:val="1"/>
        </w:numPr>
        <w:tabs>
          <w:tab w:val="left" w:pos="993"/>
        </w:tabs>
        <w:ind w:left="0" w:firstLine="567"/>
        <w:jc w:val="both"/>
      </w:pPr>
      <w:r w:rsidRPr="0040002A">
        <w:t xml:space="preserve">fondų lėšos gali būti saugomos kaip piniginės lėšos </w:t>
      </w:r>
      <w:r w:rsidR="00A444EE" w:rsidRPr="0040002A">
        <w:t xml:space="preserve">sąskaitose </w:t>
      </w:r>
      <w:r w:rsidRPr="0040002A">
        <w:t xml:space="preserve">ir (arba) indėliai Lietuvos banke. </w:t>
      </w:r>
      <w:r w:rsidR="00A444EE" w:rsidRPr="0040002A">
        <w:t xml:space="preserve">Piniginėms lėšoms ir (arba) indėliams </w:t>
      </w:r>
      <w:r w:rsidRPr="0040002A">
        <w:t>Lietuvos banke apribojimai netaikomi.</w:t>
      </w:r>
    </w:p>
    <w:p w14:paraId="590C3531" w14:textId="77777777" w:rsidR="00810328" w:rsidRPr="006B063B" w:rsidRDefault="00373A86" w:rsidP="005658E5">
      <w:pPr>
        <w:numPr>
          <w:ilvl w:val="0"/>
          <w:numId w:val="1"/>
        </w:numPr>
        <w:tabs>
          <w:tab w:val="left" w:pos="0"/>
        </w:tabs>
        <w:ind w:left="0" w:firstLine="567"/>
        <w:jc w:val="both"/>
        <w:rPr>
          <w:rFonts w:eastAsia="Calibri"/>
          <w:lang w:eastAsia="en-US"/>
        </w:rPr>
      </w:pPr>
      <w:r w:rsidRPr="005425A7">
        <w:rPr>
          <w:rFonts w:eastAsia="Calibri"/>
          <w:lang w:eastAsia="en-US"/>
        </w:rPr>
        <w:t xml:space="preserve">Reikalavimai dėl investavimo į </w:t>
      </w:r>
      <w:r w:rsidR="0042744D" w:rsidRPr="006B063B">
        <w:rPr>
          <w:rFonts w:eastAsia="Calibri"/>
          <w:lang w:eastAsia="en-US"/>
        </w:rPr>
        <w:t xml:space="preserve">Lietuvos Respublikos Vyriausybės ir (arba) kitų šalių </w:t>
      </w:r>
      <w:r w:rsidRPr="006B063B">
        <w:rPr>
          <w:rFonts w:eastAsia="Calibri"/>
          <w:lang w:eastAsia="en-US"/>
        </w:rPr>
        <w:t xml:space="preserve">vyriausybių </w:t>
      </w:r>
      <w:r w:rsidR="008C17E5" w:rsidRPr="006B063B">
        <w:rPr>
          <w:rFonts w:eastAsia="Calibri"/>
          <w:lang w:eastAsia="en-US"/>
        </w:rPr>
        <w:t>vertybinius popierius</w:t>
      </w:r>
      <w:r w:rsidR="0042744D" w:rsidRPr="006B063B">
        <w:rPr>
          <w:rFonts w:eastAsia="Calibri"/>
          <w:lang w:eastAsia="en-US"/>
        </w:rPr>
        <w:t xml:space="preserve"> (toliau – Vyriausybių VP)</w:t>
      </w:r>
      <w:r w:rsidRPr="006B063B">
        <w:rPr>
          <w:rFonts w:eastAsia="Calibri"/>
          <w:lang w:eastAsia="en-US"/>
        </w:rPr>
        <w:t>:</w:t>
      </w:r>
    </w:p>
    <w:p w14:paraId="44618DB0" w14:textId="77777777" w:rsidR="00F14ABA" w:rsidRPr="006B063B" w:rsidRDefault="00E424F2" w:rsidP="005B4E26">
      <w:pPr>
        <w:numPr>
          <w:ilvl w:val="1"/>
          <w:numId w:val="1"/>
        </w:numPr>
        <w:tabs>
          <w:tab w:val="left" w:pos="993"/>
        </w:tabs>
        <w:ind w:left="0" w:firstLine="567"/>
        <w:jc w:val="both"/>
      </w:pPr>
      <w:r w:rsidRPr="006B063B">
        <w:t>i</w:t>
      </w:r>
      <w:r w:rsidR="00373A86" w:rsidRPr="006B063B">
        <w:t xml:space="preserve">nvestuojama tik į </w:t>
      </w:r>
      <w:r w:rsidR="00F90A93" w:rsidRPr="006B063B">
        <w:t>fiksuoto pajamingumo</w:t>
      </w:r>
      <w:r w:rsidR="003673B7" w:rsidRPr="006B063B">
        <w:t xml:space="preserve"> </w:t>
      </w:r>
      <w:r w:rsidR="00165671" w:rsidRPr="006B063B">
        <w:t>Vyriausybių VP</w:t>
      </w:r>
      <w:r w:rsidR="00864A5F" w:rsidRPr="006B063B">
        <w:t>:</w:t>
      </w:r>
      <w:r w:rsidR="00F90A93" w:rsidRPr="006B063B">
        <w:t xml:space="preserve"> </w:t>
      </w:r>
    </w:p>
    <w:p w14:paraId="6D858090" w14:textId="77777777" w:rsidR="005960D3" w:rsidRPr="006B063B" w:rsidRDefault="00C3505E" w:rsidP="0040081A">
      <w:pPr>
        <w:ind w:firstLine="567"/>
        <w:jc w:val="both"/>
      </w:pPr>
      <w:r w:rsidRPr="006B063B">
        <w:t>1</w:t>
      </w:r>
      <w:r w:rsidR="00BF115F" w:rsidRPr="006B063B">
        <w:t>1</w:t>
      </w:r>
      <w:r w:rsidRPr="006B063B">
        <w:t>.1.1.</w:t>
      </w:r>
      <w:r w:rsidR="00F14ABA" w:rsidRPr="006B063B">
        <w:t xml:space="preserve"> </w:t>
      </w:r>
      <w:r w:rsidR="00C07493" w:rsidRPr="006B063B">
        <w:t>Lietuvos Respublikos Vyriausybės vertybinius popierius</w:t>
      </w:r>
      <w:r w:rsidR="00536EC4" w:rsidRPr="006B063B">
        <w:t>;</w:t>
      </w:r>
      <w:r w:rsidR="00C07493" w:rsidRPr="006B063B">
        <w:t xml:space="preserve"> </w:t>
      </w:r>
    </w:p>
    <w:p w14:paraId="35A1F62B" w14:textId="77777777" w:rsidR="001142B9" w:rsidRPr="00B45416" w:rsidRDefault="00C3505E" w:rsidP="0040081A">
      <w:pPr>
        <w:ind w:firstLine="567"/>
        <w:jc w:val="both"/>
      </w:pPr>
      <w:r w:rsidRPr="006B063B">
        <w:t>1</w:t>
      </w:r>
      <w:r w:rsidR="00BF115F" w:rsidRPr="006B063B">
        <w:t>1</w:t>
      </w:r>
      <w:r w:rsidRPr="006B063B">
        <w:t xml:space="preserve">.1.2. </w:t>
      </w:r>
      <w:r w:rsidR="00F505A0" w:rsidRPr="006B063B">
        <w:t>Europos Sąjungos valstybių narių</w:t>
      </w:r>
      <w:r w:rsidR="00634099" w:rsidRPr="006B063B">
        <w:t>, Šveicarijos</w:t>
      </w:r>
      <w:r w:rsidR="00F505A0" w:rsidRPr="006B063B">
        <w:t xml:space="preserve"> ir Europos ekonominės erdvės valstybių</w:t>
      </w:r>
      <w:r w:rsidR="006A0D80" w:rsidRPr="006B063B">
        <w:t xml:space="preserve"> </w:t>
      </w:r>
      <w:r w:rsidR="00A63C1B" w:rsidRPr="006B063B">
        <w:t>Vyriausybių VP</w:t>
      </w:r>
      <w:r w:rsidR="006A0D80" w:rsidRPr="006B063B">
        <w:t>, kai</w:t>
      </w:r>
      <w:r w:rsidR="00C66244" w:rsidRPr="006B063B">
        <w:rPr>
          <w:rFonts w:eastAsia="Calibri"/>
          <w:lang w:eastAsia="en-US"/>
        </w:rPr>
        <w:t xml:space="preserve"> </w:t>
      </w:r>
      <w:proofErr w:type="spellStart"/>
      <w:r w:rsidR="00C66244" w:rsidRPr="006B063B">
        <w:t>Fitch</w:t>
      </w:r>
      <w:proofErr w:type="spellEnd"/>
      <w:r w:rsidR="006A0D80" w:rsidRPr="006B063B">
        <w:t xml:space="preserve"> </w:t>
      </w:r>
      <w:proofErr w:type="spellStart"/>
      <w:r w:rsidR="006A0D80" w:rsidRPr="006B063B">
        <w:t>Ratings</w:t>
      </w:r>
      <w:proofErr w:type="spellEnd"/>
      <w:r w:rsidR="00C66244" w:rsidRPr="006B063B">
        <w:t>, S&amp;P ar Moody's agentūros suteiktas</w:t>
      </w:r>
      <w:r w:rsidR="00C66244" w:rsidRPr="00146A7F">
        <w:t xml:space="preserve"> galiojantis reitingas yra ne</w:t>
      </w:r>
      <w:r w:rsidR="000B766F" w:rsidRPr="00146A7F">
        <w:t xml:space="preserve"> </w:t>
      </w:r>
      <w:r w:rsidR="00C66244" w:rsidRPr="00146A7F">
        <w:t>mažesnis kaip A- (Fitch</w:t>
      </w:r>
      <w:r w:rsidR="006A0D80" w:rsidRPr="00146A7F">
        <w:t xml:space="preserve"> Ratings</w:t>
      </w:r>
      <w:r w:rsidR="00C66244" w:rsidRPr="00146A7F">
        <w:t xml:space="preserve"> ir S&amp;P) ar A3 (</w:t>
      </w:r>
      <w:proofErr w:type="spellStart"/>
      <w:r w:rsidR="00C66244" w:rsidRPr="00146A7F">
        <w:t>Moody's</w:t>
      </w:r>
      <w:proofErr w:type="spellEnd"/>
      <w:r w:rsidR="00C66244" w:rsidRPr="00146A7F">
        <w:t>)</w:t>
      </w:r>
      <w:r w:rsidR="0000147F">
        <w:t>;</w:t>
      </w:r>
      <w:r w:rsidR="00C66244" w:rsidRPr="00146A7F">
        <w:t xml:space="preserve"> </w:t>
      </w:r>
    </w:p>
    <w:p w14:paraId="216DB227" w14:textId="77777777" w:rsidR="00233675" w:rsidRPr="00146A7F" w:rsidRDefault="00C3505E" w:rsidP="00802EE8">
      <w:pPr>
        <w:ind w:firstLine="567"/>
        <w:jc w:val="both"/>
      </w:pPr>
      <w:r w:rsidRPr="00146A7F">
        <w:t>1</w:t>
      </w:r>
      <w:r w:rsidR="00BF115F" w:rsidRPr="00146A7F">
        <w:t>1</w:t>
      </w:r>
      <w:r w:rsidRPr="00146A7F">
        <w:t>.1.3.</w:t>
      </w:r>
      <w:r w:rsidR="00F14ABA" w:rsidRPr="00146A7F">
        <w:t xml:space="preserve"> </w:t>
      </w:r>
      <w:r w:rsidR="001B5E1D" w:rsidRPr="00146A7F">
        <w:t xml:space="preserve">kitų </w:t>
      </w:r>
      <w:r w:rsidR="00756B7A" w:rsidRPr="00146A7F">
        <w:t xml:space="preserve">šalių, </w:t>
      </w:r>
      <w:r w:rsidR="00984C08" w:rsidRPr="00146A7F">
        <w:t>kurioms Moody's, S&amp;P ar Fitch Ratings agent</w:t>
      </w:r>
      <w:r w:rsidR="00984C08" w:rsidRPr="00146A7F">
        <w:rPr>
          <w:rFonts w:eastAsia="TTE1830008t00"/>
        </w:rPr>
        <w:t>ū</w:t>
      </w:r>
      <w:r w:rsidR="00984C08" w:rsidRPr="00146A7F">
        <w:t>r</w:t>
      </w:r>
      <w:r w:rsidR="00984C08" w:rsidRPr="00146A7F">
        <w:rPr>
          <w:rFonts w:eastAsia="TTE1830008t00"/>
        </w:rPr>
        <w:t xml:space="preserve">ų yra </w:t>
      </w:r>
      <w:r w:rsidR="00984C08" w:rsidRPr="00146A7F">
        <w:t>suteiktas galiojantis ilgalaikis investicinis reitingas yra ne žemesnis kaip Aa3</w:t>
      </w:r>
      <w:r w:rsidR="00984C08" w:rsidRPr="00146A7F">
        <w:rPr>
          <w:rFonts w:eastAsia="Calibri"/>
          <w:lang w:eastAsia="en-US"/>
        </w:rPr>
        <w:t xml:space="preserve"> (Moody's) ar </w:t>
      </w:r>
      <w:r w:rsidR="00984C08" w:rsidRPr="00146A7F">
        <w:t>AA</w:t>
      </w:r>
      <w:r w:rsidR="007F11E1" w:rsidRPr="00146A7F">
        <w:t>(</w:t>
      </w:r>
      <w:r w:rsidR="00984C08" w:rsidRPr="00146A7F">
        <w:t>-</w:t>
      </w:r>
      <w:r w:rsidR="007F11E1" w:rsidRPr="00146A7F">
        <w:t>)</w:t>
      </w:r>
      <w:r w:rsidR="00984C08" w:rsidRPr="00146A7F">
        <w:rPr>
          <w:rFonts w:eastAsia="Calibri"/>
          <w:lang w:eastAsia="en-US"/>
        </w:rPr>
        <w:t xml:space="preserve"> (</w:t>
      </w:r>
      <w:proofErr w:type="spellStart"/>
      <w:r w:rsidR="00984C08" w:rsidRPr="00146A7F">
        <w:rPr>
          <w:rFonts w:eastAsia="Calibri"/>
          <w:lang w:eastAsia="en-US"/>
        </w:rPr>
        <w:t>Fitch</w:t>
      </w:r>
      <w:proofErr w:type="spellEnd"/>
      <w:r w:rsidR="00984C08" w:rsidRPr="00146A7F">
        <w:t xml:space="preserve"> </w:t>
      </w:r>
      <w:proofErr w:type="spellStart"/>
      <w:r w:rsidR="00984C08" w:rsidRPr="00146A7F">
        <w:t>Ratings</w:t>
      </w:r>
      <w:proofErr w:type="spellEnd"/>
      <w:r w:rsidR="00C86719" w:rsidRPr="00146A7F">
        <w:rPr>
          <w:rFonts w:eastAsia="Calibri"/>
          <w:lang w:eastAsia="en-US"/>
        </w:rPr>
        <w:t xml:space="preserve"> ir S&amp;P) </w:t>
      </w:r>
      <w:r w:rsidR="003B6C97" w:rsidRPr="00146A7F">
        <w:t xml:space="preserve">Vyriausybių </w:t>
      </w:r>
      <w:r w:rsidR="00AE7A4E" w:rsidRPr="00146A7F">
        <w:t>VP</w:t>
      </w:r>
      <w:r w:rsidR="00EC65BA" w:rsidRPr="00146A7F">
        <w:t>.</w:t>
      </w:r>
    </w:p>
    <w:p w14:paraId="0858568A" w14:textId="77777777" w:rsidR="00864A5F" w:rsidRPr="00802EE8" w:rsidRDefault="00074B4E" w:rsidP="005B4E26">
      <w:pPr>
        <w:numPr>
          <w:ilvl w:val="1"/>
          <w:numId w:val="1"/>
        </w:numPr>
        <w:tabs>
          <w:tab w:val="left" w:pos="993"/>
        </w:tabs>
        <w:ind w:left="0" w:firstLine="567"/>
        <w:jc w:val="both"/>
      </w:pPr>
      <w:r>
        <w:t>i</w:t>
      </w:r>
      <w:r w:rsidR="003E02AE" w:rsidRPr="00146A7F">
        <w:t xml:space="preserve">nvestavimo </w:t>
      </w:r>
      <w:r w:rsidR="009F0959" w:rsidRPr="00146A7F">
        <w:t xml:space="preserve">į </w:t>
      </w:r>
      <w:r w:rsidR="00D27DC6" w:rsidRPr="00146A7F">
        <w:t xml:space="preserve">Vyriausybių VP </w:t>
      </w:r>
      <w:r w:rsidR="003E02AE" w:rsidRPr="00146A7F">
        <w:t>apribojimai</w:t>
      </w:r>
      <w:r w:rsidR="00864A5F" w:rsidRPr="00146A7F">
        <w:t xml:space="preserve"> pagal subjektus</w:t>
      </w:r>
      <w:r w:rsidR="00A3167D">
        <w:t xml:space="preserve"> </w:t>
      </w:r>
      <w:r w:rsidR="00A3167D" w:rsidRPr="00802EE8">
        <w:t xml:space="preserve">ir </w:t>
      </w:r>
      <w:r w:rsidR="00B548D2" w:rsidRPr="00802EE8">
        <w:t>išpirkimo terminus</w:t>
      </w:r>
      <w:r w:rsidR="00864A5F" w:rsidRPr="00802EE8">
        <w:t>:</w:t>
      </w:r>
    </w:p>
    <w:p w14:paraId="3FFCB3D7" w14:textId="77777777" w:rsidR="00936F30" w:rsidRPr="004B4960" w:rsidRDefault="00A52774" w:rsidP="00A52774">
      <w:pPr>
        <w:tabs>
          <w:tab w:val="left" w:pos="567"/>
        </w:tabs>
        <w:jc w:val="both"/>
      </w:pPr>
      <w:r>
        <w:tab/>
      </w:r>
      <w:r w:rsidR="009F0959" w:rsidRPr="00146A7F">
        <w:t>1</w:t>
      </w:r>
      <w:r w:rsidR="00BF115F" w:rsidRPr="00146A7F">
        <w:t>1</w:t>
      </w:r>
      <w:r w:rsidR="009F0959" w:rsidRPr="00146A7F">
        <w:t xml:space="preserve">.2.1. </w:t>
      </w:r>
      <w:r w:rsidR="00E424F2">
        <w:t>v</w:t>
      </w:r>
      <w:r w:rsidR="00864A5F" w:rsidRPr="004B4960">
        <w:t>ertybiniai popieriai</w:t>
      </w:r>
      <w:r w:rsidR="00A95F8D" w:rsidRPr="004B4960">
        <w:t>, kurių i</w:t>
      </w:r>
      <w:r w:rsidR="00DE0A17" w:rsidRPr="004B4960">
        <w:t xml:space="preserve">špirkimo terminas vėliau nei po </w:t>
      </w:r>
      <w:r w:rsidR="00864A5F" w:rsidRPr="004B4960">
        <w:t>vienerių metų</w:t>
      </w:r>
      <w:r w:rsidR="00A95F8D" w:rsidRPr="004B4960">
        <w:t>,</w:t>
      </w:r>
      <w:r w:rsidR="00936F30" w:rsidRPr="004B4960">
        <w:t xml:space="preserve"> neturi sudaryti</w:t>
      </w:r>
    </w:p>
    <w:p w14:paraId="5C8C126D" w14:textId="77777777" w:rsidR="009F0959" w:rsidRPr="0070316F" w:rsidRDefault="00864A5F" w:rsidP="00DB468C">
      <w:pPr>
        <w:tabs>
          <w:tab w:val="left" w:pos="709"/>
          <w:tab w:val="left" w:pos="1134"/>
        </w:tabs>
        <w:jc w:val="both"/>
      </w:pPr>
      <w:r w:rsidRPr="004B4960">
        <w:t xml:space="preserve">daugiau </w:t>
      </w:r>
      <w:r w:rsidR="00FC54CB" w:rsidRPr="0040002A">
        <w:rPr>
          <w:lang w:val="en-US"/>
        </w:rPr>
        <w:t>7</w:t>
      </w:r>
      <w:r w:rsidRPr="0040002A">
        <w:t xml:space="preserve">0 </w:t>
      </w:r>
      <w:r w:rsidR="00681B9B" w:rsidRPr="0040002A">
        <w:t>%</w:t>
      </w:r>
      <w:r w:rsidR="00681B9B" w:rsidRPr="0070316F">
        <w:t xml:space="preserve"> visų</w:t>
      </w:r>
      <w:r w:rsidRPr="0070316F">
        <w:t xml:space="preserve"> </w:t>
      </w:r>
      <w:r w:rsidR="00C86719" w:rsidRPr="0070316F">
        <w:t xml:space="preserve">vieno </w:t>
      </w:r>
      <w:r w:rsidR="000B766F" w:rsidRPr="0070316F">
        <w:t>F</w:t>
      </w:r>
      <w:r w:rsidRPr="0070316F">
        <w:t xml:space="preserve">ondo </w:t>
      </w:r>
      <w:r w:rsidR="00232C2A" w:rsidRPr="00802EE8">
        <w:t>finansinių išteklių</w:t>
      </w:r>
      <w:r w:rsidR="00C86719" w:rsidRPr="0070316F">
        <w:t>;</w:t>
      </w:r>
    </w:p>
    <w:p w14:paraId="04ABB8D7" w14:textId="77777777" w:rsidR="00864A5F" w:rsidRDefault="00A52774" w:rsidP="00A52774">
      <w:pPr>
        <w:tabs>
          <w:tab w:val="left" w:pos="567"/>
        </w:tabs>
        <w:jc w:val="both"/>
      </w:pPr>
      <w:r>
        <w:tab/>
      </w:r>
      <w:r w:rsidR="009F0959" w:rsidRPr="00146A7F">
        <w:t>1</w:t>
      </w:r>
      <w:r w:rsidR="00BF115F" w:rsidRPr="00146A7F">
        <w:t>1</w:t>
      </w:r>
      <w:r w:rsidR="009F0959" w:rsidRPr="00146A7F">
        <w:t>.</w:t>
      </w:r>
      <w:r w:rsidR="009F0959" w:rsidRPr="00B45416">
        <w:t xml:space="preserve">2.2. </w:t>
      </w:r>
      <w:r w:rsidR="00A95F8D" w:rsidRPr="00146A7F">
        <w:t>i</w:t>
      </w:r>
      <w:r w:rsidR="00864A5F" w:rsidRPr="00146A7F">
        <w:t xml:space="preserve">nvesticijos į </w:t>
      </w:r>
      <w:r w:rsidR="005F32A0" w:rsidRPr="00146A7F">
        <w:t xml:space="preserve">ne Europos Sąjungos valstybių narių, Šveicarijos ir Europos ekonominės erdvės valstybių </w:t>
      </w:r>
      <w:r w:rsidR="00864A5F" w:rsidRPr="00146A7F">
        <w:t xml:space="preserve">vyriausybių vieno emitento skolos vertybinius popierius gali sudaryti  ne daugiau negu </w:t>
      </w:r>
      <w:r w:rsidR="00681B9B" w:rsidRPr="00146A7F">
        <w:t>10</w:t>
      </w:r>
      <w:r w:rsidR="00C86719" w:rsidRPr="00146A7F">
        <w:t xml:space="preserve"> % visų vieno</w:t>
      </w:r>
      <w:r w:rsidR="00864A5F" w:rsidRPr="00146A7F">
        <w:t xml:space="preserve"> </w:t>
      </w:r>
      <w:r w:rsidR="000B766F" w:rsidRPr="00146A7F">
        <w:t>F</w:t>
      </w:r>
      <w:r w:rsidR="00864A5F" w:rsidRPr="00146A7F">
        <w:t>ondo</w:t>
      </w:r>
      <w:r w:rsidR="003E02AE" w:rsidRPr="00146A7F">
        <w:t xml:space="preserve"> </w:t>
      </w:r>
      <w:r w:rsidR="005F32A0" w:rsidRPr="00146A7F">
        <w:t>vertybinių popierių</w:t>
      </w:r>
      <w:r w:rsidR="00D75205">
        <w:t xml:space="preserve">, o </w:t>
      </w:r>
      <w:r w:rsidR="00D75205" w:rsidRPr="00146A7F">
        <w:t xml:space="preserve">investicijos į Europos Sąjungos valstybių narių, Šveicarijos ir Europos ekonominės erdvės valstybių vyriausybių vieno emitento skolos vertybinius popierius gali sudaryti  ne daugiau negu </w:t>
      </w:r>
      <w:r w:rsidR="00D75205" w:rsidRPr="00275359">
        <w:t>3</w:t>
      </w:r>
      <w:r w:rsidR="00D75205" w:rsidRPr="00146A7F">
        <w:t>0 % visų vieno Fondo vertybinių popierių</w:t>
      </w:r>
      <w:r w:rsidR="00E14EC7">
        <w:t>.</w:t>
      </w:r>
    </w:p>
    <w:p w14:paraId="4ADED065" w14:textId="77777777" w:rsidR="00D75205" w:rsidRPr="00275359" w:rsidRDefault="00D75205" w:rsidP="005B4E26">
      <w:pPr>
        <w:numPr>
          <w:ilvl w:val="1"/>
          <w:numId w:val="1"/>
        </w:numPr>
        <w:tabs>
          <w:tab w:val="left" w:pos="993"/>
        </w:tabs>
        <w:ind w:left="0" w:firstLine="567"/>
        <w:jc w:val="both"/>
      </w:pPr>
      <w:r>
        <w:t xml:space="preserve">investuojant į Lietuvos Respublikos Vyriausybės vertybinius popierius Taisyklių </w:t>
      </w:r>
      <w:r w:rsidRPr="00275359">
        <w:t>11.2.2. punkte nurodyti apribojimai netaikomi.</w:t>
      </w:r>
    </w:p>
    <w:p w14:paraId="60ED86AF" w14:textId="77777777" w:rsidR="00C3505E" w:rsidRPr="00B92704" w:rsidRDefault="00C3505E" w:rsidP="00EB5B6A">
      <w:pPr>
        <w:numPr>
          <w:ilvl w:val="0"/>
          <w:numId w:val="22"/>
        </w:numPr>
        <w:tabs>
          <w:tab w:val="left" w:pos="993"/>
        </w:tabs>
        <w:ind w:left="0" w:firstLine="567"/>
        <w:jc w:val="both"/>
      </w:pPr>
      <w:r w:rsidRPr="00B92704">
        <w:t>Jeigu skirtingos reitingų agentūros suteikė nevienodus reitingus tam pačiam subjektui arba yra</w:t>
      </w:r>
      <w:r w:rsidR="00EB5B6A">
        <w:t xml:space="preserve"> </w:t>
      </w:r>
      <w:r w:rsidRPr="00B92704">
        <w:t>informacijos apie galimą žemesnį reitingą, vertinamas žemesnis reitingas.</w:t>
      </w:r>
    </w:p>
    <w:p w14:paraId="1354D92B" w14:textId="77777777" w:rsidR="005B3AB4" w:rsidRDefault="005B3AB4" w:rsidP="00126F86">
      <w:pPr>
        <w:numPr>
          <w:ilvl w:val="0"/>
          <w:numId w:val="22"/>
        </w:numPr>
        <w:tabs>
          <w:tab w:val="left" w:pos="993"/>
        </w:tabs>
        <w:ind w:left="0" w:firstLine="567"/>
        <w:jc w:val="both"/>
      </w:pPr>
      <w:r w:rsidRPr="00054BC4">
        <w:t xml:space="preserve">Fondų lėšos, kurias ketinama ne vėliau kaip per </w:t>
      </w:r>
      <w:r w:rsidR="00BC6BE1" w:rsidRPr="00BC6BE1">
        <w:t>metus</w:t>
      </w:r>
      <w:r w:rsidRPr="00054BC4">
        <w:t xml:space="preserve"> nuo jų įskaitymo į Fondų sąskaitas dienos panaudoti F</w:t>
      </w:r>
      <w:r w:rsidR="00CD7D81" w:rsidRPr="00054BC4">
        <w:t xml:space="preserve">ondų įsipareigojimams vykdyti, laikomos </w:t>
      </w:r>
      <w:r w:rsidRPr="00054BC4">
        <w:t>Taisyklių 1</w:t>
      </w:r>
      <w:r w:rsidR="00676B68" w:rsidRPr="00B45416">
        <w:t>0</w:t>
      </w:r>
      <w:r w:rsidRPr="00054BC4">
        <w:t xml:space="preserve"> punkte nustatyt</w:t>
      </w:r>
      <w:r w:rsidR="00CD7D81" w:rsidRPr="00054BC4">
        <w:t>ose</w:t>
      </w:r>
      <w:r w:rsidRPr="00054BC4">
        <w:t xml:space="preserve"> bank</w:t>
      </w:r>
      <w:r w:rsidR="00155524" w:rsidRPr="00054BC4">
        <w:t>o</w:t>
      </w:r>
      <w:r w:rsidRPr="00054BC4">
        <w:t xml:space="preserve"> sąskait</w:t>
      </w:r>
      <w:r w:rsidR="00CD7D81" w:rsidRPr="00054BC4">
        <w:t>ose</w:t>
      </w:r>
      <w:r w:rsidRPr="00054BC4">
        <w:t xml:space="preserve"> ir/arba terminuot</w:t>
      </w:r>
      <w:r w:rsidR="00CD7D81" w:rsidRPr="00054BC4">
        <w:t xml:space="preserve">uose </w:t>
      </w:r>
      <w:r w:rsidRPr="00054BC4">
        <w:t>indėliu</w:t>
      </w:r>
      <w:r w:rsidR="00CD7D81" w:rsidRPr="00054BC4">
        <w:t>ose</w:t>
      </w:r>
      <w:r w:rsidRPr="00054BC4">
        <w:t>.</w:t>
      </w:r>
    </w:p>
    <w:p w14:paraId="391C082F" w14:textId="77777777" w:rsidR="00FD0874" w:rsidRPr="00B92704" w:rsidRDefault="00FD0874" w:rsidP="00FD0874">
      <w:pPr>
        <w:tabs>
          <w:tab w:val="left" w:pos="993"/>
        </w:tabs>
        <w:ind w:left="567"/>
        <w:jc w:val="both"/>
      </w:pPr>
    </w:p>
    <w:p w14:paraId="0372CA72" w14:textId="77777777" w:rsidR="009E2FF6" w:rsidRPr="00B92704" w:rsidRDefault="00D062F4" w:rsidP="0075700B">
      <w:pPr>
        <w:pStyle w:val="Heading1"/>
        <w:spacing w:line="240" w:lineRule="auto"/>
        <w:rPr>
          <w:rFonts w:ascii="Times New Roman" w:hAnsi="Times New Roman"/>
          <w:sz w:val="24"/>
          <w:lang w:val="lt-LT"/>
        </w:rPr>
      </w:pPr>
      <w:r w:rsidRPr="00B92704">
        <w:rPr>
          <w:rFonts w:ascii="Times New Roman" w:hAnsi="Times New Roman"/>
          <w:sz w:val="24"/>
        </w:rPr>
        <w:t xml:space="preserve">IV. </w:t>
      </w:r>
      <w:r w:rsidR="009E2FF6" w:rsidRPr="00B92704">
        <w:rPr>
          <w:rFonts w:ascii="Times New Roman" w:hAnsi="Times New Roman"/>
          <w:sz w:val="24"/>
        </w:rPr>
        <w:t>INVEST</w:t>
      </w:r>
      <w:r w:rsidR="006C3D8D" w:rsidRPr="00B92704">
        <w:rPr>
          <w:rFonts w:ascii="Times New Roman" w:hAnsi="Times New Roman"/>
          <w:sz w:val="24"/>
        </w:rPr>
        <w:t>I</w:t>
      </w:r>
      <w:r w:rsidR="009E2FF6" w:rsidRPr="00B92704">
        <w:rPr>
          <w:rFonts w:ascii="Times New Roman" w:hAnsi="Times New Roman"/>
          <w:sz w:val="24"/>
        </w:rPr>
        <w:t>CIJŲ RIZIKOS VALDYMAS</w:t>
      </w:r>
      <w:r w:rsidR="003E02AE" w:rsidRPr="00B92704">
        <w:rPr>
          <w:rFonts w:ascii="Times New Roman" w:hAnsi="Times New Roman"/>
          <w:sz w:val="24"/>
        </w:rPr>
        <w:t xml:space="preserve"> IR SPRENDIMŲ PRIĖMIMAS</w:t>
      </w:r>
    </w:p>
    <w:p w14:paraId="65CD22F2" w14:textId="77777777" w:rsidR="009E2FF6" w:rsidRPr="00B92704" w:rsidRDefault="009E2FF6" w:rsidP="0075700B">
      <w:pPr>
        <w:ind w:firstLine="720"/>
        <w:jc w:val="both"/>
      </w:pPr>
    </w:p>
    <w:p w14:paraId="09C28C36" w14:textId="77777777" w:rsidR="009E2FF6" w:rsidRPr="00B92704" w:rsidRDefault="00D062F4" w:rsidP="00FD0874">
      <w:pPr>
        <w:numPr>
          <w:ilvl w:val="0"/>
          <w:numId w:val="22"/>
        </w:numPr>
        <w:tabs>
          <w:tab w:val="left" w:pos="993"/>
        </w:tabs>
        <w:ind w:left="0" w:firstLine="567"/>
        <w:jc w:val="both"/>
      </w:pPr>
      <w:r w:rsidRPr="00B92704">
        <w:t xml:space="preserve">Investicijų </w:t>
      </w:r>
      <w:r w:rsidR="009E2FF6" w:rsidRPr="00B92704">
        <w:t xml:space="preserve">rizikos valdymas apima palūkanų normos, kredito ir likvidumo rizikas. </w:t>
      </w:r>
    </w:p>
    <w:p w14:paraId="0789B57C" w14:textId="77777777" w:rsidR="009746BB" w:rsidRPr="00054BC4" w:rsidRDefault="009746BB" w:rsidP="00FD0874">
      <w:pPr>
        <w:numPr>
          <w:ilvl w:val="0"/>
          <w:numId w:val="22"/>
        </w:numPr>
        <w:tabs>
          <w:tab w:val="left" w:pos="993"/>
        </w:tabs>
        <w:ind w:left="0" w:firstLine="567"/>
        <w:jc w:val="both"/>
      </w:pPr>
      <w:r w:rsidRPr="00B92704">
        <w:t xml:space="preserve">Valdant palūkanų normos riziką, laikoma, kad modifikuotos trukmės rodiklis, kurio reikšmė </w:t>
      </w:r>
      <w:r w:rsidRPr="0040002A">
        <w:t xml:space="preserve">neviršija </w:t>
      </w:r>
      <w:r w:rsidR="00FC54CB" w:rsidRPr="0040002A">
        <w:t>6</w:t>
      </w:r>
      <w:r w:rsidR="00E9352A" w:rsidRPr="0040002A">
        <w:t>,</w:t>
      </w:r>
      <w:r w:rsidRPr="00B92704">
        <w:t xml:space="preserve"> yra priimtino rizikos lygio. </w:t>
      </w:r>
      <w:r w:rsidR="00AC2B50">
        <w:t xml:space="preserve">Indėlių draudimo fondo ir Įsipareigojimų investuotojams draudimo fondo turimų Vyriausybių VP portfelių modifikuotos trukmės </w:t>
      </w:r>
      <w:r w:rsidR="00AC2B50" w:rsidRPr="00054BC4">
        <w:t xml:space="preserve">rodikliai skaičiuojami atskirai. </w:t>
      </w:r>
    </w:p>
    <w:p w14:paraId="4903FC8F" w14:textId="77777777" w:rsidR="009E2FF6" w:rsidRPr="00054BC4" w:rsidRDefault="009E2FF6" w:rsidP="00FD0874">
      <w:pPr>
        <w:numPr>
          <w:ilvl w:val="0"/>
          <w:numId w:val="22"/>
        </w:numPr>
        <w:tabs>
          <w:tab w:val="left" w:pos="993"/>
        </w:tabs>
        <w:ind w:left="0" w:firstLine="567"/>
        <w:jc w:val="both"/>
      </w:pPr>
      <w:r w:rsidRPr="00054BC4">
        <w:t xml:space="preserve">Valdant kredito riziką, kuri tiesiogiai siejama su emitentu, laikoma, kad </w:t>
      </w:r>
      <w:r w:rsidR="007266FA" w:rsidRPr="00054BC4">
        <w:t>Taisyklių</w:t>
      </w:r>
      <w:r w:rsidR="0045558B" w:rsidRPr="00054BC4">
        <w:t xml:space="preserve"> </w:t>
      </w:r>
      <w:r w:rsidR="00676B68" w:rsidRPr="00054BC4">
        <w:t>10</w:t>
      </w:r>
      <w:r w:rsidR="00B75DFE" w:rsidRPr="00054BC4">
        <w:t>.1, 1</w:t>
      </w:r>
      <w:r w:rsidR="00676B68" w:rsidRPr="00054BC4">
        <w:t>1</w:t>
      </w:r>
      <w:r w:rsidR="00B75DFE" w:rsidRPr="00054BC4">
        <w:t>.1</w:t>
      </w:r>
      <w:r w:rsidR="00594804" w:rsidRPr="00054BC4">
        <w:t xml:space="preserve"> </w:t>
      </w:r>
      <w:r w:rsidRPr="00054BC4">
        <w:t>punkt</w:t>
      </w:r>
      <w:r w:rsidR="00B75DFE" w:rsidRPr="00054BC4">
        <w:t>ų</w:t>
      </w:r>
      <w:r w:rsidRPr="00054BC4">
        <w:t xml:space="preserve"> reikalavimai</w:t>
      </w:r>
      <w:r w:rsidR="00FF55C9" w:rsidRPr="00054BC4">
        <w:t xml:space="preserve"> </w:t>
      </w:r>
      <w:r w:rsidRPr="00054BC4">
        <w:t>užtikrina</w:t>
      </w:r>
      <w:r w:rsidR="00AD3690" w:rsidRPr="00054BC4">
        <w:t xml:space="preserve"> priimtiną</w:t>
      </w:r>
      <w:r w:rsidRPr="00054BC4">
        <w:t xml:space="preserve"> investicijų saugumą.</w:t>
      </w:r>
    </w:p>
    <w:p w14:paraId="38FCE1BA" w14:textId="77777777" w:rsidR="009E2FF6" w:rsidRPr="003F0B6F" w:rsidRDefault="009E2FF6" w:rsidP="00FD0874">
      <w:pPr>
        <w:numPr>
          <w:ilvl w:val="0"/>
          <w:numId w:val="22"/>
        </w:numPr>
        <w:tabs>
          <w:tab w:val="left" w:pos="993"/>
        </w:tabs>
        <w:ind w:left="0" w:firstLine="567"/>
        <w:jc w:val="both"/>
        <w:rPr>
          <w:b/>
        </w:rPr>
      </w:pPr>
      <w:r w:rsidRPr="00054BC4">
        <w:rPr>
          <w:rFonts w:ascii="Times-Bold" w:hAnsi="Times-Bold" w:cs="Times-Bold"/>
          <w:bCs/>
        </w:rPr>
        <w:t>Valdant likvidumo riziką,</w:t>
      </w:r>
      <w:r w:rsidR="00AD3690" w:rsidRPr="00054BC4">
        <w:rPr>
          <w:rFonts w:ascii="Times-Bold" w:hAnsi="Times-Bold" w:cs="Times-Bold"/>
          <w:bCs/>
        </w:rPr>
        <w:t xml:space="preserve"> investicijos skaidomos pagal subjektus bei</w:t>
      </w:r>
      <w:r w:rsidRPr="00054BC4">
        <w:rPr>
          <w:rFonts w:ascii="Times-Bold" w:hAnsi="Times-Bold" w:cs="Times-Bold"/>
          <w:bCs/>
        </w:rPr>
        <w:t xml:space="preserve"> laikoma, kad </w:t>
      </w:r>
      <w:r w:rsidR="00F92BA6" w:rsidRPr="00054BC4">
        <w:rPr>
          <w:rFonts w:ascii="Times-Bold" w:hAnsi="Times-Bold" w:cs="Times-Bold"/>
          <w:bCs/>
        </w:rPr>
        <w:t xml:space="preserve">Taisyklių </w:t>
      </w:r>
      <w:r w:rsidR="002F6F66" w:rsidRPr="00054BC4">
        <w:rPr>
          <w:rFonts w:ascii="Times-Bold" w:hAnsi="Times-Bold" w:cs="Times-Bold"/>
          <w:bCs/>
        </w:rPr>
        <w:t>9, 11</w:t>
      </w:r>
      <w:r w:rsidR="00B75DFE" w:rsidRPr="00054BC4">
        <w:rPr>
          <w:rFonts w:ascii="Times-Bold" w:hAnsi="Times-Bold" w:cs="Times-Bold"/>
          <w:bCs/>
        </w:rPr>
        <w:t>.2.1</w:t>
      </w:r>
      <w:r w:rsidR="00594804" w:rsidRPr="00054BC4">
        <w:rPr>
          <w:rFonts w:ascii="Times-Bold" w:hAnsi="Times-Bold" w:cs="Times-Bold"/>
          <w:bCs/>
        </w:rPr>
        <w:t xml:space="preserve"> </w:t>
      </w:r>
      <w:r w:rsidR="00991C9F" w:rsidRPr="00054BC4">
        <w:rPr>
          <w:rFonts w:ascii="Times-Bold" w:hAnsi="Times-Bold" w:cs="Times-Bold"/>
          <w:bCs/>
        </w:rPr>
        <w:t>punkt</w:t>
      </w:r>
      <w:r w:rsidR="00B75DFE" w:rsidRPr="00054BC4">
        <w:rPr>
          <w:rFonts w:ascii="Times-Bold" w:hAnsi="Times-Bold" w:cs="Times-Bold"/>
          <w:bCs/>
        </w:rPr>
        <w:t>ų</w:t>
      </w:r>
      <w:r w:rsidR="00991C9F" w:rsidRPr="00054BC4">
        <w:rPr>
          <w:rFonts w:ascii="Times-Bold" w:hAnsi="Times-Bold" w:cs="Times-Bold"/>
          <w:bCs/>
        </w:rPr>
        <w:t xml:space="preserve"> </w:t>
      </w:r>
      <w:r w:rsidR="00F14ABA" w:rsidRPr="00054BC4">
        <w:rPr>
          <w:rFonts w:ascii="Times-Bold" w:hAnsi="Times-Bold" w:cs="Times-Bold"/>
          <w:bCs/>
        </w:rPr>
        <w:t xml:space="preserve"> nuostatos atitinka</w:t>
      </w:r>
      <w:r w:rsidRPr="00054BC4">
        <w:rPr>
          <w:rFonts w:ascii="Times-Roman" w:hAnsi="Times-Roman" w:cs="Times-Roman"/>
          <w:lang w:eastAsia="en-US"/>
        </w:rPr>
        <w:t xml:space="preserve"> </w:t>
      </w:r>
      <w:r w:rsidRPr="00054BC4">
        <w:rPr>
          <w:rFonts w:ascii="Times-Roman" w:hAnsi="Times-Roman" w:cs="Times-Roman"/>
        </w:rPr>
        <w:t>likvidumo</w:t>
      </w:r>
      <w:r w:rsidR="00C86719" w:rsidRPr="00054BC4">
        <w:rPr>
          <w:rFonts w:ascii="Times-Roman" w:hAnsi="Times-Roman" w:cs="Times-Roman"/>
        </w:rPr>
        <w:t xml:space="preserve"> rizikos valdymo</w:t>
      </w:r>
      <w:r w:rsidRPr="00054BC4">
        <w:rPr>
          <w:rFonts w:ascii="Times-Roman" w:hAnsi="Times-Roman" w:cs="Times-Roman"/>
        </w:rPr>
        <w:t xml:space="preserve"> sąlygas</w:t>
      </w:r>
      <w:r w:rsidR="001142B9" w:rsidRPr="00054BC4">
        <w:rPr>
          <w:rFonts w:ascii="Times-Roman" w:hAnsi="Times-Roman" w:cs="Times-Roman"/>
        </w:rPr>
        <w:t>.</w:t>
      </w:r>
    </w:p>
    <w:p w14:paraId="0404D0AE" w14:textId="321588FE" w:rsidR="0063162F" w:rsidRDefault="00810C50" w:rsidP="0063162F">
      <w:pPr>
        <w:numPr>
          <w:ilvl w:val="0"/>
          <w:numId w:val="22"/>
        </w:numPr>
        <w:tabs>
          <w:tab w:val="left" w:pos="993"/>
          <w:tab w:val="left" w:pos="1134"/>
        </w:tabs>
        <w:ind w:left="0" w:firstLine="567"/>
        <w:jc w:val="both"/>
        <w:rPr>
          <w:bCs/>
        </w:rPr>
      </w:pPr>
      <w:r w:rsidRPr="003F0B6F">
        <w:rPr>
          <w:rFonts w:ascii="Times-Bold" w:hAnsi="Times-Bold" w:cs="Times-Bold"/>
          <w:bCs/>
        </w:rPr>
        <w:lastRenderedPageBreak/>
        <w:t xml:space="preserve">Jeigu investicijos ar jų dalis atitinka </w:t>
      </w:r>
      <w:r w:rsidR="00874447" w:rsidRPr="003F0B6F">
        <w:rPr>
          <w:rFonts w:ascii="Times-Bold" w:hAnsi="Times-Bold" w:cs="Times-Bold"/>
          <w:bCs/>
        </w:rPr>
        <w:t xml:space="preserve">Taisyklėse </w:t>
      </w:r>
      <w:r w:rsidRPr="003F0B6F">
        <w:rPr>
          <w:rFonts w:ascii="Times-Bold" w:hAnsi="Times-Bold" w:cs="Times-Bold"/>
          <w:bCs/>
        </w:rPr>
        <w:t>nustatytus kriterijus ir jų vertė ne didesnė</w:t>
      </w:r>
      <w:r w:rsidR="003E02AE" w:rsidRPr="003F0B6F">
        <w:rPr>
          <w:rFonts w:ascii="Times-Bold" w:hAnsi="Times-Bold" w:cs="Times-Bold"/>
          <w:bCs/>
        </w:rPr>
        <w:t xml:space="preserve"> negu </w:t>
      </w:r>
      <w:r w:rsidR="00594804" w:rsidRPr="003F0B6F">
        <w:rPr>
          <w:rFonts w:ascii="Times-Bold" w:hAnsi="Times-Bold" w:cs="Times-Bold"/>
          <w:bCs/>
        </w:rPr>
        <w:t>10</w:t>
      </w:r>
      <w:r w:rsidR="003E02AE" w:rsidRPr="003F0B6F">
        <w:rPr>
          <w:rFonts w:ascii="Times-Bold" w:hAnsi="Times-Bold" w:cs="Times-Bold"/>
          <w:bCs/>
        </w:rPr>
        <w:t xml:space="preserve"> mln. </w:t>
      </w:r>
      <w:r w:rsidR="00050623" w:rsidRPr="006B063B">
        <w:rPr>
          <w:rFonts w:ascii="Times-Bold" w:hAnsi="Times-Bold" w:cs="Times-Bold"/>
          <w:bCs/>
        </w:rPr>
        <w:t>eur</w:t>
      </w:r>
      <w:r w:rsidR="00050623" w:rsidRPr="006B063B">
        <w:rPr>
          <w:rFonts w:asciiTheme="minorHAnsi" w:hAnsiTheme="minorHAnsi" w:cs="Times-Bold"/>
          <w:bCs/>
        </w:rPr>
        <w:t>ų</w:t>
      </w:r>
      <w:r w:rsidR="003E02AE" w:rsidRPr="006B063B">
        <w:rPr>
          <w:rFonts w:ascii="Times-Bold" w:hAnsi="Times-Bold" w:cs="Times-Bold"/>
          <w:bCs/>
        </w:rPr>
        <w:t xml:space="preserve">, sprendimą dėl šių investicijų priima </w:t>
      </w:r>
      <w:r w:rsidRPr="006B063B">
        <w:rPr>
          <w:rFonts w:ascii="Times-Bold" w:hAnsi="Times-Bold" w:cs="Times-Bold"/>
          <w:bCs/>
        </w:rPr>
        <w:t xml:space="preserve">Draudimo </w:t>
      </w:r>
      <w:r w:rsidR="003E02AE" w:rsidRPr="006B063B">
        <w:rPr>
          <w:rFonts w:ascii="Times-Bold" w:hAnsi="Times-Bold" w:cs="Times-Bold"/>
          <w:bCs/>
        </w:rPr>
        <w:t xml:space="preserve">įmonės </w:t>
      </w:r>
      <w:r w:rsidR="00AA5344">
        <w:rPr>
          <w:rFonts w:ascii="Times-Bold" w:hAnsi="Times-Bold" w:cs="Times-Bold"/>
          <w:bCs/>
        </w:rPr>
        <w:t>direktoriu</w:t>
      </w:r>
      <w:r w:rsidR="003E02AE" w:rsidRPr="006B063B">
        <w:rPr>
          <w:bCs/>
        </w:rPr>
        <w:t>s</w:t>
      </w:r>
      <w:r w:rsidR="00050623" w:rsidRPr="006B063B">
        <w:rPr>
          <w:bCs/>
        </w:rPr>
        <w:t>, jeigu didesnė negu 10 mln. eurų – sprendimą priima Draudimo įmonės taryba</w:t>
      </w:r>
      <w:r w:rsidRPr="006B063B">
        <w:rPr>
          <w:bCs/>
        </w:rPr>
        <w:t>.</w:t>
      </w:r>
    </w:p>
    <w:p w14:paraId="5191E823" w14:textId="7292AAD7" w:rsidR="00344AEF" w:rsidRPr="0063162F" w:rsidRDefault="00BE254B" w:rsidP="0063162F">
      <w:pPr>
        <w:numPr>
          <w:ilvl w:val="0"/>
          <w:numId w:val="22"/>
        </w:numPr>
        <w:tabs>
          <w:tab w:val="left" w:pos="993"/>
          <w:tab w:val="left" w:pos="1134"/>
        </w:tabs>
        <w:ind w:left="0" w:firstLine="567"/>
        <w:jc w:val="both"/>
        <w:rPr>
          <w:bCs/>
        </w:rPr>
      </w:pPr>
      <w:r w:rsidRPr="0063162F">
        <w:rPr>
          <w:bCs/>
        </w:rPr>
        <w:t xml:space="preserve">Jeigu subjektai, į kurių Vyriausybių VP arba indėlius yra investuotos Indėlių draudimo fondo ir Įsipareigojimų investuotojams draudimo fondo lėšos, netenkina šių Taisyklių 10 ir 11 punktuose nustatytų reikalavimų, Draudimo įmonė ne vėliau kaip per 5 darbo dienas nuo oficialios informacijos viešo paskelbimo, įvertinusi investicijos likutinę trukmę, investuotų lėšų susigrąžinimo kaštus ir kitą turimą informaciją, turi parengti ekonomiškai pagrįstą siūlymą dėl tolesnių veiksmų, </w:t>
      </w:r>
      <w:r w:rsidR="0063162F" w:rsidRPr="0063162F">
        <w:rPr>
          <w:bCs/>
        </w:rPr>
        <w:t>susijusių su investuotomis lėšomis, ir jį pateikti Draudimo įmonės tarybai. Sprendimą dėl minėtų investicijų priima Draudimo įmonės taryba.</w:t>
      </w:r>
    </w:p>
    <w:p w14:paraId="65837442" w14:textId="77777777" w:rsidR="00DB2201" w:rsidRPr="00DB2201" w:rsidRDefault="00DB2201" w:rsidP="00F30BB8">
      <w:pPr>
        <w:numPr>
          <w:ilvl w:val="0"/>
          <w:numId w:val="22"/>
        </w:numPr>
        <w:tabs>
          <w:tab w:val="left" w:pos="993"/>
          <w:tab w:val="left" w:pos="1134"/>
        </w:tabs>
        <w:ind w:left="0" w:firstLine="567"/>
        <w:jc w:val="both"/>
        <w:rPr>
          <w:lang w:eastAsia="en-US"/>
        </w:rPr>
      </w:pPr>
      <w:r w:rsidRPr="00DB2201">
        <w:rPr>
          <w:lang w:eastAsia="en-US"/>
        </w:rPr>
        <w:t xml:space="preserve">Tuo atveju, jeigu Draudimo įmonei kyla pareiga išmokėti indėlių draudimo išmokas ir </w:t>
      </w:r>
      <w:r w:rsidR="00C43DBD">
        <w:rPr>
          <w:lang w:eastAsia="en-US"/>
        </w:rPr>
        <w:t xml:space="preserve">(arba) </w:t>
      </w:r>
      <w:r w:rsidRPr="00DB2201">
        <w:rPr>
          <w:lang w:eastAsia="en-US"/>
        </w:rPr>
        <w:t xml:space="preserve">įsipareigojimų investuotojams draudimo išmokas, o </w:t>
      </w:r>
      <w:r w:rsidR="00C43DBD">
        <w:rPr>
          <w:lang w:eastAsia="en-US"/>
        </w:rPr>
        <w:t xml:space="preserve">atitinkamai </w:t>
      </w:r>
      <w:r w:rsidRPr="00DB2201">
        <w:rPr>
          <w:lang w:eastAsia="en-US"/>
        </w:rPr>
        <w:t xml:space="preserve">Indėlių draudimo fondo arba Įsipareigojimų investuotojams draudimo fondo lėšų, investuotų teisės aktų nustatyta tvarka, panaudojimas prieš terminą būtų ekonomiškai nenaudingas, Draudimo įmonė turi teisę Draudimo įmonės tarybos pritarimu </w:t>
      </w:r>
      <w:r w:rsidR="0008558B" w:rsidRPr="00B45416">
        <w:rPr>
          <w:lang w:eastAsia="en-US"/>
        </w:rPr>
        <w:t>bei</w:t>
      </w:r>
      <w:r w:rsidR="0010713A" w:rsidRPr="00B45416">
        <w:rPr>
          <w:lang w:eastAsia="en-US"/>
        </w:rPr>
        <w:t xml:space="preserve"> nepažeidžiant Įstatymo nuostatų</w:t>
      </w:r>
      <w:r w:rsidR="0010713A">
        <w:rPr>
          <w:lang w:eastAsia="en-US"/>
        </w:rPr>
        <w:t xml:space="preserve"> </w:t>
      </w:r>
      <w:r w:rsidRPr="00DB2201">
        <w:rPr>
          <w:lang w:eastAsia="en-US"/>
        </w:rPr>
        <w:t>nerealizuoti atitinkamų investicijų iki jų išpirkimo termino bei pasinaudoti alternatyviais finansavimo šaltiniais.</w:t>
      </w:r>
    </w:p>
    <w:p w14:paraId="7F0FF73E" w14:textId="77777777" w:rsidR="005960D3" w:rsidRPr="00C0632D" w:rsidRDefault="005960D3" w:rsidP="00E9352A">
      <w:pPr>
        <w:tabs>
          <w:tab w:val="left" w:pos="1134"/>
        </w:tabs>
        <w:jc w:val="both"/>
      </w:pPr>
    </w:p>
    <w:p w14:paraId="228CFB9D" w14:textId="77777777" w:rsidR="009E2FF6" w:rsidRPr="0037682E" w:rsidRDefault="00406B50" w:rsidP="00A52774">
      <w:pPr>
        <w:pStyle w:val="Heading3"/>
        <w:jc w:val="center"/>
        <w:rPr>
          <w:rFonts w:ascii="Times New Roman" w:hAnsi="Times New Roman"/>
          <w:bCs w:val="0"/>
          <w:sz w:val="24"/>
          <w:lang w:val="lt-LT"/>
        </w:rPr>
      </w:pPr>
      <w:r>
        <w:rPr>
          <w:rFonts w:ascii="Times New Roman" w:hAnsi="Times New Roman"/>
          <w:bCs w:val="0"/>
          <w:sz w:val="24"/>
        </w:rPr>
        <w:t>V</w:t>
      </w:r>
      <w:r w:rsidR="009E2FF6" w:rsidRPr="00C0632D">
        <w:rPr>
          <w:rFonts w:ascii="Times New Roman" w:hAnsi="Times New Roman"/>
          <w:bCs w:val="0"/>
          <w:sz w:val="24"/>
        </w:rPr>
        <w:t>. ATSKAITOMYBĖ</w:t>
      </w:r>
    </w:p>
    <w:p w14:paraId="159D73B4" w14:textId="77777777" w:rsidR="009E2FF6" w:rsidRPr="00C0632D" w:rsidRDefault="009E2FF6" w:rsidP="0075700B">
      <w:pPr>
        <w:ind w:firstLine="720"/>
        <w:jc w:val="both"/>
        <w:rPr>
          <w:b/>
        </w:rPr>
      </w:pPr>
    </w:p>
    <w:p w14:paraId="546C86AC" w14:textId="77777777" w:rsidR="009E2FF6" w:rsidRDefault="00E2718B" w:rsidP="0013311F">
      <w:pPr>
        <w:numPr>
          <w:ilvl w:val="0"/>
          <w:numId w:val="22"/>
        </w:numPr>
        <w:tabs>
          <w:tab w:val="left" w:pos="993"/>
          <w:tab w:val="left" w:pos="1134"/>
        </w:tabs>
        <w:ind w:left="0" w:firstLine="567"/>
        <w:jc w:val="both"/>
        <w:rPr>
          <w:lang w:eastAsia="en-US"/>
        </w:rPr>
      </w:pPr>
      <w:r w:rsidRPr="0013311F">
        <w:rPr>
          <w:lang w:eastAsia="en-US"/>
        </w:rPr>
        <w:t>Draudimo į</w:t>
      </w:r>
      <w:r w:rsidR="009E2FF6" w:rsidRPr="0013311F">
        <w:rPr>
          <w:lang w:eastAsia="en-US"/>
        </w:rPr>
        <w:t xml:space="preserve">monė teikia </w:t>
      </w:r>
      <w:r w:rsidR="00810C50" w:rsidRPr="0013311F">
        <w:rPr>
          <w:lang w:eastAsia="en-US"/>
        </w:rPr>
        <w:t xml:space="preserve">Draudimo įmonės tarybai </w:t>
      </w:r>
      <w:r w:rsidR="005E0F50" w:rsidRPr="0013311F">
        <w:rPr>
          <w:lang w:eastAsia="en-US"/>
        </w:rPr>
        <w:t xml:space="preserve">informaciją </w:t>
      </w:r>
      <w:r w:rsidR="009E2FF6" w:rsidRPr="0013311F">
        <w:rPr>
          <w:lang w:eastAsia="en-US"/>
        </w:rPr>
        <w:t>apie investicijas 2 kartus per</w:t>
      </w:r>
      <w:r w:rsidR="0013311F" w:rsidRPr="0013311F">
        <w:rPr>
          <w:lang w:eastAsia="en-US"/>
        </w:rPr>
        <w:t xml:space="preserve"> </w:t>
      </w:r>
      <w:r w:rsidR="009E2FF6" w:rsidRPr="0013311F">
        <w:rPr>
          <w:lang w:eastAsia="en-US"/>
        </w:rPr>
        <w:t>metus</w:t>
      </w:r>
      <w:r w:rsidR="005E0F50" w:rsidRPr="0013311F">
        <w:rPr>
          <w:lang w:eastAsia="en-US"/>
        </w:rPr>
        <w:t>: informaciją apie investicijas už metų pirmąjį pusmetį -</w:t>
      </w:r>
      <w:r w:rsidR="00E9352A" w:rsidRPr="0013311F">
        <w:rPr>
          <w:lang w:eastAsia="en-US"/>
        </w:rPr>
        <w:t xml:space="preserve"> </w:t>
      </w:r>
      <w:r w:rsidR="005E0F50" w:rsidRPr="0013311F">
        <w:rPr>
          <w:lang w:eastAsia="en-US"/>
        </w:rPr>
        <w:t xml:space="preserve">iki tų metų liepos </w:t>
      </w:r>
      <w:r w:rsidR="005E0F50" w:rsidRPr="00802EE8">
        <w:rPr>
          <w:lang w:eastAsia="en-US"/>
        </w:rPr>
        <w:t>3</w:t>
      </w:r>
      <w:r w:rsidR="00126F86" w:rsidRPr="00802EE8">
        <w:rPr>
          <w:lang w:eastAsia="en-US"/>
        </w:rPr>
        <w:t>1</w:t>
      </w:r>
      <w:r w:rsidR="005E0F50" w:rsidRPr="0013311F">
        <w:rPr>
          <w:lang w:eastAsia="en-US"/>
        </w:rPr>
        <w:t xml:space="preserve"> dienos; informaciją apie vienerių metų laikotarpį – iki kitų metų sausio 31 dienos. </w:t>
      </w:r>
      <w:r w:rsidR="00E9352A" w:rsidRPr="0013311F">
        <w:rPr>
          <w:lang w:eastAsia="en-US"/>
        </w:rPr>
        <w:t xml:space="preserve">Draudimo įmonės </w:t>
      </w:r>
      <w:r w:rsidR="001D70AD" w:rsidRPr="0013311F">
        <w:rPr>
          <w:lang w:eastAsia="en-US"/>
        </w:rPr>
        <w:t>tarybai paprašius</w:t>
      </w:r>
      <w:r w:rsidR="005E0F50" w:rsidRPr="0013311F">
        <w:rPr>
          <w:lang w:eastAsia="en-US"/>
        </w:rPr>
        <w:t>, Draudimo įmonė teikia informaciją apie investicijas dažniau</w:t>
      </w:r>
      <w:r w:rsidR="000D0633" w:rsidRPr="0013311F">
        <w:rPr>
          <w:lang w:eastAsia="en-US"/>
        </w:rPr>
        <w:t>.</w:t>
      </w:r>
      <w:r w:rsidR="009E2FF6" w:rsidRPr="0013311F">
        <w:rPr>
          <w:lang w:eastAsia="en-US"/>
        </w:rPr>
        <w:t xml:space="preserve"> </w:t>
      </w:r>
      <w:r w:rsidR="005E0F50" w:rsidRPr="0013311F">
        <w:rPr>
          <w:lang w:eastAsia="en-US"/>
        </w:rPr>
        <w:t xml:space="preserve">Teikiamoje informacijoje </w:t>
      </w:r>
      <w:r w:rsidR="009E2FF6" w:rsidRPr="0013311F">
        <w:rPr>
          <w:lang w:eastAsia="en-US"/>
        </w:rPr>
        <w:t xml:space="preserve">turi būti </w:t>
      </w:r>
      <w:r w:rsidRPr="0013311F">
        <w:rPr>
          <w:lang w:eastAsia="en-US"/>
        </w:rPr>
        <w:t xml:space="preserve">nurodoma </w:t>
      </w:r>
      <w:r w:rsidR="009E2FF6" w:rsidRPr="0013311F">
        <w:rPr>
          <w:lang w:eastAsia="en-US"/>
        </w:rPr>
        <w:t>investicijų sudėtis, vertė, duomenys apie investicijų atitikimą nustatytiems kriterijams ir apribojimams.</w:t>
      </w:r>
    </w:p>
    <w:p w14:paraId="62775CDC" w14:textId="77777777" w:rsidR="00FC54CB" w:rsidRPr="0040002A" w:rsidRDefault="00FC54CB" w:rsidP="00FC54CB">
      <w:pPr>
        <w:numPr>
          <w:ilvl w:val="0"/>
          <w:numId w:val="22"/>
        </w:numPr>
        <w:tabs>
          <w:tab w:val="left" w:pos="993"/>
          <w:tab w:val="left" w:pos="1134"/>
        </w:tabs>
        <w:ind w:left="0" w:firstLine="567"/>
        <w:jc w:val="both"/>
        <w:rPr>
          <w:lang w:eastAsia="en-US"/>
        </w:rPr>
      </w:pPr>
      <w:r w:rsidRPr="0040002A">
        <w:rPr>
          <w:lang w:eastAsia="en-US"/>
        </w:rPr>
        <w:t xml:space="preserve">Draudimo įmonė peržiūri Taisykles </w:t>
      </w:r>
      <w:r w:rsidR="00F82B8A" w:rsidRPr="0040002A">
        <w:rPr>
          <w:lang w:eastAsia="en-US"/>
        </w:rPr>
        <w:t>ne</w:t>
      </w:r>
      <w:r w:rsidR="006D2623" w:rsidRPr="0040002A">
        <w:rPr>
          <w:lang w:eastAsia="en-US"/>
        </w:rPr>
        <w:t xml:space="preserve"> </w:t>
      </w:r>
      <w:r w:rsidR="00F82B8A" w:rsidRPr="0040002A">
        <w:rPr>
          <w:lang w:eastAsia="en-US"/>
        </w:rPr>
        <w:t xml:space="preserve">rečiau kaip </w:t>
      </w:r>
      <w:r w:rsidRPr="0040002A">
        <w:rPr>
          <w:lang w:eastAsia="en-US"/>
        </w:rPr>
        <w:t>2 kartus per metus ir informaciją dėl Taisyklių keitimo poreikio teikia tarybai kartu su informacija apie investicijas.</w:t>
      </w:r>
    </w:p>
    <w:p w14:paraId="18323EBD" w14:textId="77777777" w:rsidR="00FC54CB" w:rsidRPr="0013311F" w:rsidRDefault="00FC54CB" w:rsidP="00F82B8A">
      <w:pPr>
        <w:tabs>
          <w:tab w:val="left" w:pos="993"/>
          <w:tab w:val="left" w:pos="1134"/>
        </w:tabs>
        <w:ind w:left="567"/>
        <w:jc w:val="both"/>
        <w:rPr>
          <w:lang w:eastAsia="en-US"/>
        </w:rPr>
      </w:pPr>
    </w:p>
    <w:p w14:paraId="5A9D91D4" w14:textId="77777777" w:rsidR="00896953" w:rsidRPr="00C0632D" w:rsidRDefault="00B56C62" w:rsidP="003F0B6F">
      <w:pPr>
        <w:jc w:val="center"/>
      </w:pPr>
      <w:r>
        <w:rPr>
          <w:b/>
        </w:rPr>
        <w:t>____________________________</w:t>
      </w:r>
    </w:p>
    <w:sectPr w:rsidR="00896953" w:rsidRPr="00C0632D" w:rsidSect="005425A7">
      <w:headerReference w:type="default" r:id="rId8"/>
      <w:footerReference w:type="default" r:id="rId9"/>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3050F" w14:textId="77777777" w:rsidR="00C914A3" w:rsidRDefault="00C914A3" w:rsidP="00AE67F6">
      <w:r>
        <w:separator/>
      </w:r>
    </w:p>
  </w:endnote>
  <w:endnote w:type="continuationSeparator" w:id="0">
    <w:p w14:paraId="547D936C" w14:textId="77777777" w:rsidR="00C914A3" w:rsidRDefault="00C914A3" w:rsidP="00AE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0"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TE1830008t00">
    <w:altName w:val="MS Mincho"/>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330403"/>
      <w:docPartObj>
        <w:docPartGallery w:val="Page Numbers (Bottom of Page)"/>
        <w:docPartUnique/>
      </w:docPartObj>
    </w:sdtPr>
    <w:sdtEndPr/>
    <w:sdtContent>
      <w:p w14:paraId="40B13CE6" w14:textId="77777777" w:rsidR="00303B59" w:rsidRDefault="00303B59">
        <w:pPr>
          <w:pStyle w:val="Footer"/>
          <w:jc w:val="center"/>
        </w:pPr>
        <w:r>
          <w:fldChar w:fldCharType="begin"/>
        </w:r>
        <w:r>
          <w:instrText>PAGE   \* MERGEFORMAT</w:instrText>
        </w:r>
        <w:r>
          <w:fldChar w:fldCharType="separate"/>
        </w:r>
        <w:r>
          <w:rPr>
            <w:lang w:val="lt-LT"/>
          </w:rPr>
          <w:t>2</w:t>
        </w:r>
        <w:r>
          <w:fldChar w:fldCharType="end"/>
        </w:r>
      </w:p>
    </w:sdtContent>
  </w:sdt>
  <w:p w14:paraId="6A7A27F5" w14:textId="77777777" w:rsidR="00AF7DF1" w:rsidRDefault="00AF7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43AD4" w14:textId="77777777" w:rsidR="00C914A3" w:rsidRDefault="00C914A3" w:rsidP="00AE67F6">
      <w:r>
        <w:separator/>
      </w:r>
    </w:p>
  </w:footnote>
  <w:footnote w:type="continuationSeparator" w:id="0">
    <w:p w14:paraId="66503C44" w14:textId="77777777" w:rsidR="00C914A3" w:rsidRDefault="00C914A3" w:rsidP="00AE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BCFD" w14:textId="3190D630" w:rsidR="00D06C81" w:rsidRDefault="00D06C81">
    <w:pPr>
      <w:pStyle w:val="Header"/>
    </w:pPr>
    <w:r>
      <w:rPr>
        <w:lang w:val="lt-LT"/>
      </w:rPr>
      <w:tab/>
    </w:r>
    <w:r>
      <w:rPr>
        <w:lang w:val="lt-LT"/>
      </w:rPr>
      <w:tab/>
    </w:r>
  </w:p>
  <w:p w14:paraId="030332AB" w14:textId="77777777" w:rsidR="00D67515" w:rsidRPr="0053422F" w:rsidRDefault="00D67515" w:rsidP="00D67515">
    <w:pPr>
      <w:pStyle w:val="Header"/>
      <w:tabs>
        <w:tab w:val="clear" w:pos="4819"/>
        <w:tab w:val="clear" w:pos="9638"/>
        <w:tab w:val="left" w:pos="913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C08"/>
    <w:multiLevelType w:val="multilevel"/>
    <w:tmpl w:val="1E981A84"/>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6445E"/>
    <w:multiLevelType w:val="multilevel"/>
    <w:tmpl w:val="9B00D95A"/>
    <w:lvl w:ilvl="0">
      <w:start w:val="18"/>
      <w:numFmt w:val="decimal"/>
      <w:lvlText w:val="%1."/>
      <w:lvlJc w:val="left"/>
      <w:pPr>
        <w:ind w:left="360" w:hanging="360"/>
      </w:pPr>
      <w:rPr>
        <w:rFonts w:hint="default"/>
        <w:b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CD30DF"/>
    <w:multiLevelType w:val="hybridMultilevel"/>
    <w:tmpl w:val="37483AFA"/>
    <w:lvl w:ilvl="0" w:tplc="324266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060ACC"/>
    <w:multiLevelType w:val="hybridMultilevel"/>
    <w:tmpl w:val="F156F8A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9D408C4"/>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4445A"/>
    <w:multiLevelType w:val="multilevel"/>
    <w:tmpl w:val="578AB696"/>
    <w:lvl w:ilvl="0">
      <w:start w:val="1"/>
      <w:numFmt w:val="decimal"/>
      <w:lvlText w:val="%1."/>
      <w:lvlJc w:val="left"/>
      <w:pPr>
        <w:ind w:left="906" w:hanging="480"/>
      </w:pPr>
      <w:rPr>
        <w:rFonts w:ascii="Times New Roman" w:eastAsia="Times New Roman" w:hAnsi="Times New Roman" w:cs="Times New Roman"/>
        <w:b w:val="0"/>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BC139E"/>
    <w:multiLevelType w:val="multilevel"/>
    <w:tmpl w:val="578AB696"/>
    <w:lvl w:ilvl="0">
      <w:start w:val="1"/>
      <w:numFmt w:val="decimal"/>
      <w:lvlText w:val="%1."/>
      <w:lvlJc w:val="left"/>
      <w:pPr>
        <w:ind w:left="906" w:hanging="480"/>
      </w:pPr>
      <w:rPr>
        <w:rFonts w:ascii="Times New Roman" w:eastAsia="Times New Roman" w:hAnsi="Times New Roman" w:cs="Times New Roman"/>
        <w:b w:val="0"/>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2874F2"/>
    <w:multiLevelType w:val="hybridMultilevel"/>
    <w:tmpl w:val="3F3E897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94031"/>
    <w:multiLevelType w:val="multilevel"/>
    <w:tmpl w:val="1E981A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316552"/>
    <w:multiLevelType w:val="multilevel"/>
    <w:tmpl w:val="FF10C4EA"/>
    <w:lvl w:ilvl="0">
      <w:start w:val="1"/>
      <w:numFmt w:val="decimal"/>
      <w:lvlText w:val="%1."/>
      <w:lvlJc w:val="left"/>
      <w:pPr>
        <w:ind w:left="720" w:hanging="360"/>
      </w:pPr>
      <w:rPr>
        <w:b w:val="0"/>
      </w:rPr>
    </w:lvl>
    <w:lvl w:ilvl="1">
      <w:start w:val="1"/>
      <w:numFmt w:val="decimal"/>
      <w:isLgl/>
      <w:lvlText w:val="%1.%2."/>
      <w:lvlJc w:val="left"/>
      <w:pPr>
        <w:ind w:left="1299" w:hanging="4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060108"/>
    <w:multiLevelType w:val="multilevel"/>
    <w:tmpl w:val="9EDCDD32"/>
    <w:lvl w:ilvl="0">
      <w:start w:val="1"/>
      <w:numFmt w:val="decimal"/>
      <w:lvlText w:val="%1."/>
      <w:lvlJc w:val="left"/>
      <w:pPr>
        <w:ind w:left="1473" w:hanging="480"/>
      </w:pPr>
      <w:rPr>
        <w:rFonts w:ascii="Times New Roman" w:eastAsia="Times New Roman" w:hAnsi="Times New Roman" w:cs="Times New Roman"/>
        <w:b w:val="0"/>
      </w:rPr>
    </w:lvl>
    <w:lvl w:ilvl="1">
      <w:start w:val="1"/>
      <w:numFmt w:val="decimal"/>
      <w:lvlText w:val="%1.%2."/>
      <w:lvlJc w:val="left"/>
      <w:pPr>
        <w:ind w:left="1048"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1450FF"/>
    <w:multiLevelType w:val="hybridMultilevel"/>
    <w:tmpl w:val="985C842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64BA1"/>
    <w:multiLevelType w:val="hybridMultilevel"/>
    <w:tmpl w:val="2C4E2188"/>
    <w:lvl w:ilvl="0" w:tplc="04270001">
      <w:start w:val="1"/>
      <w:numFmt w:val="bullet"/>
      <w:lvlText w:val=""/>
      <w:lvlJc w:val="left"/>
      <w:pPr>
        <w:ind w:left="1548" w:hanging="360"/>
      </w:pPr>
      <w:rPr>
        <w:rFonts w:ascii="Symbol" w:hAnsi="Symbol" w:hint="default"/>
      </w:rPr>
    </w:lvl>
    <w:lvl w:ilvl="1" w:tplc="04270003" w:tentative="1">
      <w:start w:val="1"/>
      <w:numFmt w:val="bullet"/>
      <w:lvlText w:val="o"/>
      <w:lvlJc w:val="left"/>
      <w:pPr>
        <w:ind w:left="2268" w:hanging="360"/>
      </w:pPr>
      <w:rPr>
        <w:rFonts w:ascii="Courier New" w:hAnsi="Courier New" w:cs="Courier New" w:hint="default"/>
      </w:rPr>
    </w:lvl>
    <w:lvl w:ilvl="2" w:tplc="04270005" w:tentative="1">
      <w:start w:val="1"/>
      <w:numFmt w:val="bullet"/>
      <w:lvlText w:val=""/>
      <w:lvlJc w:val="left"/>
      <w:pPr>
        <w:ind w:left="2988" w:hanging="360"/>
      </w:pPr>
      <w:rPr>
        <w:rFonts w:ascii="Wingdings" w:hAnsi="Wingdings" w:hint="default"/>
      </w:rPr>
    </w:lvl>
    <w:lvl w:ilvl="3" w:tplc="04270001" w:tentative="1">
      <w:start w:val="1"/>
      <w:numFmt w:val="bullet"/>
      <w:lvlText w:val=""/>
      <w:lvlJc w:val="left"/>
      <w:pPr>
        <w:ind w:left="3708" w:hanging="360"/>
      </w:pPr>
      <w:rPr>
        <w:rFonts w:ascii="Symbol" w:hAnsi="Symbol" w:hint="default"/>
      </w:rPr>
    </w:lvl>
    <w:lvl w:ilvl="4" w:tplc="04270003" w:tentative="1">
      <w:start w:val="1"/>
      <w:numFmt w:val="bullet"/>
      <w:lvlText w:val="o"/>
      <w:lvlJc w:val="left"/>
      <w:pPr>
        <w:ind w:left="4428" w:hanging="360"/>
      </w:pPr>
      <w:rPr>
        <w:rFonts w:ascii="Courier New" w:hAnsi="Courier New" w:cs="Courier New" w:hint="default"/>
      </w:rPr>
    </w:lvl>
    <w:lvl w:ilvl="5" w:tplc="04270005" w:tentative="1">
      <w:start w:val="1"/>
      <w:numFmt w:val="bullet"/>
      <w:lvlText w:val=""/>
      <w:lvlJc w:val="left"/>
      <w:pPr>
        <w:ind w:left="5148" w:hanging="360"/>
      </w:pPr>
      <w:rPr>
        <w:rFonts w:ascii="Wingdings" w:hAnsi="Wingdings" w:hint="default"/>
      </w:rPr>
    </w:lvl>
    <w:lvl w:ilvl="6" w:tplc="04270001" w:tentative="1">
      <w:start w:val="1"/>
      <w:numFmt w:val="bullet"/>
      <w:lvlText w:val=""/>
      <w:lvlJc w:val="left"/>
      <w:pPr>
        <w:ind w:left="5868" w:hanging="360"/>
      </w:pPr>
      <w:rPr>
        <w:rFonts w:ascii="Symbol" w:hAnsi="Symbol" w:hint="default"/>
      </w:rPr>
    </w:lvl>
    <w:lvl w:ilvl="7" w:tplc="04270003" w:tentative="1">
      <w:start w:val="1"/>
      <w:numFmt w:val="bullet"/>
      <w:lvlText w:val="o"/>
      <w:lvlJc w:val="left"/>
      <w:pPr>
        <w:ind w:left="6588" w:hanging="360"/>
      </w:pPr>
      <w:rPr>
        <w:rFonts w:ascii="Courier New" w:hAnsi="Courier New" w:cs="Courier New" w:hint="default"/>
      </w:rPr>
    </w:lvl>
    <w:lvl w:ilvl="8" w:tplc="04270005" w:tentative="1">
      <w:start w:val="1"/>
      <w:numFmt w:val="bullet"/>
      <w:lvlText w:val=""/>
      <w:lvlJc w:val="left"/>
      <w:pPr>
        <w:ind w:left="7308" w:hanging="360"/>
      </w:pPr>
      <w:rPr>
        <w:rFonts w:ascii="Wingdings" w:hAnsi="Wingdings" w:hint="default"/>
      </w:rPr>
    </w:lvl>
  </w:abstractNum>
  <w:abstractNum w:abstractNumId="13" w15:restartNumberingAfterBreak="0">
    <w:nsid w:val="46BB4483"/>
    <w:multiLevelType w:val="hybridMultilevel"/>
    <w:tmpl w:val="0D24628E"/>
    <w:lvl w:ilvl="0" w:tplc="68D42CE4">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730484E"/>
    <w:multiLevelType w:val="multilevel"/>
    <w:tmpl w:val="0409001F"/>
    <w:lvl w:ilvl="0">
      <w:start w:val="1"/>
      <w:numFmt w:val="decimal"/>
      <w:lvlText w:val="%1."/>
      <w:lvlJc w:val="left"/>
      <w:pPr>
        <w:ind w:left="1211" w:hanging="360"/>
      </w:pPr>
      <w:rPr>
        <w:b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D77F17"/>
    <w:multiLevelType w:val="multilevel"/>
    <w:tmpl w:val="FF10C4EA"/>
    <w:lvl w:ilvl="0">
      <w:start w:val="1"/>
      <w:numFmt w:val="decimal"/>
      <w:lvlText w:val="%1."/>
      <w:lvlJc w:val="left"/>
      <w:pPr>
        <w:ind w:left="720" w:hanging="360"/>
      </w:pPr>
      <w:rPr>
        <w:b w:val="0"/>
      </w:rPr>
    </w:lvl>
    <w:lvl w:ilvl="1">
      <w:start w:val="1"/>
      <w:numFmt w:val="decimal"/>
      <w:isLgl/>
      <w:lvlText w:val="%1.%2."/>
      <w:lvlJc w:val="left"/>
      <w:pPr>
        <w:ind w:left="1299" w:hanging="4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C04EA7"/>
    <w:multiLevelType w:val="multilevel"/>
    <w:tmpl w:val="578AB696"/>
    <w:lvl w:ilvl="0">
      <w:start w:val="1"/>
      <w:numFmt w:val="decimal"/>
      <w:lvlText w:val="%1."/>
      <w:lvlJc w:val="left"/>
      <w:pPr>
        <w:ind w:left="906" w:hanging="480"/>
      </w:pPr>
      <w:rPr>
        <w:rFonts w:ascii="Times New Roman" w:eastAsia="Times New Roman" w:hAnsi="Times New Roman" w:cs="Times New Roman"/>
        <w:b w:val="0"/>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FB74C9"/>
    <w:multiLevelType w:val="multilevel"/>
    <w:tmpl w:val="578AB696"/>
    <w:lvl w:ilvl="0">
      <w:start w:val="1"/>
      <w:numFmt w:val="decimal"/>
      <w:lvlText w:val="%1."/>
      <w:lvlJc w:val="left"/>
      <w:pPr>
        <w:ind w:left="906" w:hanging="480"/>
      </w:pPr>
      <w:rPr>
        <w:rFonts w:ascii="Times New Roman" w:eastAsia="Times New Roman" w:hAnsi="Times New Roman" w:cs="Times New Roman"/>
        <w:b w:val="0"/>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6823EB"/>
    <w:multiLevelType w:val="multilevel"/>
    <w:tmpl w:val="DEB0C94E"/>
    <w:lvl w:ilvl="0">
      <w:start w:val="1"/>
      <w:numFmt w:val="decimal"/>
      <w:lvlText w:val="%1."/>
      <w:lvlJc w:val="left"/>
      <w:pPr>
        <w:ind w:left="1680" w:hanging="960"/>
      </w:pPr>
      <w:rPr>
        <w:rFonts w:hint="default"/>
      </w:rPr>
    </w:lvl>
    <w:lvl w:ilvl="1">
      <w:start w:val="1"/>
      <w:numFmt w:val="decimal"/>
      <w:isLgl/>
      <w:lvlText w:val="%1.%2."/>
      <w:lvlJc w:val="left"/>
      <w:pPr>
        <w:ind w:left="3185"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D973A6A"/>
    <w:multiLevelType w:val="multilevel"/>
    <w:tmpl w:val="1F380902"/>
    <w:lvl w:ilvl="0">
      <w:start w:val="1"/>
      <w:numFmt w:val="decimal"/>
      <w:lvlText w:val="%1."/>
      <w:lvlJc w:val="left"/>
      <w:pPr>
        <w:ind w:left="4188" w:hanging="360"/>
      </w:pPr>
      <w:rPr>
        <w:rFonts w:hint="default"/>
      </w:rPr>
    </w:lvl>
    <w:lvl w:ilvl="1">
      <w:start w:val="1"/>
      <w:numFmt w:val="decimal"/>
      <w:isLgl/>
      <w:lvlText w:val="%1.%2."/>
      <w:lvlJc w:val="left"/>
      <w:pPr>
        <w:ind w:left="3954" w:hanging="551"/>
      </w:pPr>
      <w:rPr>
        <w:rFonts w:hint="default"/>
        <w:b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0" w15:restartNumberingAfterBreak="0">
    <w:nsid w:val="612B0A97"/>
    <w:multiLevelType w:val="multilevel"/>
    <w:tmpl w:val="0409001F"/>
    <w:lvl w:ilvl="0">
      <w:start w:val="1"/>
      <w:numFmt w:val="decimal"/>
      <w:lvlText w:val="%1."/>
      <w:lvlJc w:val="left"/>
      <w:pPr>
        <w:ind w:left="1211" w:hanging="360"/>
      </w:pPr>
      <w:rPr>
        <w:b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7073F3"/>
    <w:multiLevelType w:val="multilevel"/>
    <w:tmpl w:val="46408E38"/>
    <w:lvl w:ilvl="0">
      <w:start w:val="12"/>
      <w:numFmt w:val="decimal"/>
      <w:lvlText w:val="%1."/>
      <w:lvlJc w:val="left"/>
      <w:pPr>
        <w:ind w:left="786" w:hanging="360"/>
      </w:pPr>
      <w:rPr>
        <w:rFonts w:hint="default"/>
        <w:b w:val="0"/>
      </w:rPr>
    </w:lvl>
    <w:lvl w:ilvl="1">
      <w:start w:val="1"/>
      <w:numFmt w:val="decimal"/>
      <w:lvlText w:val="%1.%2."/>
      <w:lvlJc w:val="left"/>
      <w:pPr>
        <w:ind w:left="509" w:hanging="432"/>
      </w:pPr>
      <w:rPr>
        <w:rFonts w:hint="default"/>
        <w:i w:val="0"/>
      </w:rPr>
    </w:lvl>
    <w:lvl w:ilvl="2">
      <w:start w:val="1"/>
      <w:numFmt w:val="decimal"/>
      <w:lvlText w:val="%1.%2.%3."/>
      <w:lvlJc w:val="left"/>
      <w:pPr>
        <w:ind w:left="941" w:hanging="504"/>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22" w15:restartNumberingAfterBreak="0">
    <w:nsid w:val="735F4BAE"/>
    <w:multiLevelType w:val="multilevel"/>
    <w:tmpl w:val="4CFE3BE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BC1878"/>
    <w:multiLevelType w:val="multilevel"/>
    <w:tmpl w:val="19682EC6"/>
    <w:lvl w:ilvl="0">
      <w:start w:val="13"/>
      <w:numFmt w:val="decimal"/>
      <w:lvlText w:val="%1."/>
      <w:lvlJc w:val="left"/>
      <w:pPr>
        <w:ind w:left="1211" w:hanging="360"/>
      </w:pPr>
      <w:rPr>
        <w:rFonts w:hint="default"/>
        <w:b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2114AF"/>
    <w:multiLevelType w:val="hybridMultilevel"/>
    <w:tmpl w:val="8634F1B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8461F"/>
    <w:multiLevelType w:val="hybridMultilevel"/>
    <w:tmpl w:val="0A047D0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5"/>
  </w:num>
  <w:num w:numId="5">
    <w:abstractNumId w:val="19"/>
  </w:num>
  <w:num w:numId="6">
    <w:abstractNumId w:val="9"/>
  </w:num>
  <w:num w:numId="7">
    <w:abstractNumId w:val="12"/>
  </w:num>
  <w:num w:numId="8">
    <w:abstractNumId w:val="5"/>
  </w:num>
  <w:num w:numId="9">
    <w:abstractNumId w:val="6"/>
  </w:num>
  <w:num w:numId="10">
    <w:abstractNumId w:val="16"/>
  </w:num>
  <w:num w:numId="11">
    <w:abstractNumId w:val="17"/>
  </w:num>
  <w:num w:numId="12">
    <w:abstractNumId w:val="22"/>
  </w:num>
  <w:num w:numId="13">
    <w:abstractNumId w:val="10"/>
  </w:num>
  <w:num w:numId="14">
    <w:abstractNumId w:val="3"/>
  </w:num>
  <w:num w:numId="15">
    <w:abstractNumId w:val="1"/>
  </w:num>
  <w:num w:numId="16">
    <w:abstractNumId w:val="25"/>
  </w:num>
  <w:num w:numId="17">
    <w:abstractNumId w:val="4"/>
  </w:num>
  <w:num w:numId="18">
    <w:abstractNumId w:val="13"/>
  </w:num>
  <w:num w:numId="19">
    <w:abstractNumId w:val="18"/>
  </w:num>
  <w:num w:numId="20">
    <w:abstractNumId w:val="20"/>
  </w:num>
  <w:num w:numId="21">
    <w:abstractNumId w:val="11"/>
  </w:num>
  <w:num w:numId="22">
    <w:abstractNumId w:val="21"/>
  </w:num>
  <w:num w:numId="23">
    <w:abstractNumId w:val="24"/>
  </w:num>
  <w:num w:numId="24">
    <w:abstractNumId w:val="7"/>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F6"/>
    <w:rsid w:val="0000147F"/>
    <w:rsid w:val="0000288A"/>
    <w:rsid w:val="00003D91"/>
    <w:rsid w:val="00004451"/>
    <w:rsid w:val="000102A3"/>
    <w:rsid w:val="00010554"/>
    <w:rsid w:val="00014F91"/>
    <w:rsid w:val="0002310A"/>
    <w:rsid w:val="00023163"/>
    <w:rsid w:val="000237D3"/>
    <w:rsid w:val="000252C5"/>
    <w:rsid w:val="00026A1F"/>
    <w:rsid w:val="00026C86"/>
    <w:rsid w:val="00027633"/>
    <w:rsid w:val="0004116A"/>
    <w:rsid w:val="00046452"/>
    <w:rsid w:val="00046C38"/>
    <w:rsid w:val="00050623"/>
    <w:rsid w:val="00053C12"/>
    <w:rsid w:val="00054BC4"/>
    <w:rsid w:val="00054C3C"/>
    <w:rsid w:val="000559F9"/>
    <w:rsid w:val="000561D8"/>
    <w:rsid w:val="000572C3"/>
    <w:rsid w:val="00057481"/>
    <w:rsid w:val="0006033F"/>
    <w:rsid w:val="000604D5"/>
    <w:rsid w:val="000606C4"/>
    <w:rsid w:val="00072506"/>
    <w:rsid w:val="00073368"/>
    <w:rsid w:val="00074B1B"/>
    <w:rsid w:val="00074B4E"/>
    <w:rsid w:val="00075D90"/>
    <w:rsid w:val="000768BA"/>
    <w:rsid w:val="00076F54"/>
    <w:rsid w:val="00082136"/>
    <w:rsid w:val="0008558B"/>
    <w:rsid w:val="00091835"/>
    <w:rsid w:val="000923CF"/>
    <w:rsid w:val="00093A5E"/>
    <w:rsid w:val="000A4005"/>
    <w:rsid w:val="000A45F0"/>
    <w:rsid w:val="000A4D46"/>
    <w:rsid w:val="000B0F3D"/>
    <w:rsid w:val="000B3962"/>
    <w:rsid w:val="000B479F"/>
    <w:rsid w:val="000B6AAB"/>
    <w:rsid w:val="000B766F"/>
    <w:rsid w:val="000D0633"/>
    <w:rsid w:val="000D1C75"/>
    <w:rsid w:val="000E2F67"/>
    <w:rsid w:val="000E32DF"/>
    <w:rsid w:val="000E3480"/>
    <w:rsid w:val="000E7A78"/>
    <w:rsid w:val="000F1CAB"/>
    <w:rsid w:val="000F3543"/>
    <w:rsid w:val="000F7941"/>
    <w:rsid w:val="00103E7D"/>
    <w:rsid w:val="0010713A"/>
    <w:rsid w:val="001077EC"/>
    <w:rsid w:val="00113B4B"/>
    <w:rsid w:val="001142B9"/>
    <w:rsid w:val="001146A1"/>
    <w:rsid w:val="00122999"/>
    <w:rsid w:val="001256C8"/>
    <w:rsid w:val="00126F86"/>
    <w:rsid w:val="00130778"/>
    <w:rsid w:val="0013311F"/>
    <w:rsid w:val="00133859"/>
    <w:rsid w:val="00133982"/>
    <w:rsid w:val="00136A7A"/>
    <w:rsid w:val="001377EF"/>
    <w:rsid w:val="0014336D"/>
    <w:rsid w:val="00146A7F"/>
    <w:rsid w:val="00150A25"/>
    <w:rsid w:val="00155080"/>
    <w:rsid w:val="00155524"/>
    <w:rsid w:val="00157A14"/>
    <w:rsid w:val="001626EC"/>
    <w:rsid w:val="00163C61"/>
    <w:rsid w:val="0016459F"/>
    <w:rsid w:val="00165671"/>
    <w:rsid w:val="00171ADB"/>
    <w:rsid w:val="00172C65"/>
    <w:rsid w:val="00173669"/>
    <w:rsid w:val="00174408"/>
    <w:rsid w:val="001769E6"/>
    <w:rsid w:val="00177A95"/>
    <w:rsid w:val="00180BDD"/>
    <w:rsid w:val="0019407D"/>
    <w:rsid w:val="00196825"/>
    <w:rsid w:val="001A07D5"/>
    <w:rsid w:val="001A603B"/>
    <w:rsid w:val="001A73BC"/>
    <w:rsid w:val="001B5638"/>
    <w:rsid w:val="001B5DE0"/>
    <w:rsid w:val="001B5E1D"/>
    <w:rsid w:val="001C2246"/>
    <w:rsid w:val="001C2648"/>
    <w:rsid w:val="001C40F5"/>
    <w:rsid w:val="001C6033"/>
    <w:rsid w:val="001C7582"/>
    <w:rsid w:val="001D48D8"/>
    <w:rsid w:val="001D70AD"/>
    <w:rsid w:val="001E09E7"/>
    <w:rsid w:val="001E2312"/>
    <w:rsid w:val="001E3105"/>
    <w:rsid w:val="001F15BF"/>
    <w:rsid w:val="001F3296"/>
    <w:rsid w:val="00202EE3"/>
    <w:rsid w:val="002126BA"/>
    <w:rsid w:val="00215EC1"/>
    <w:rsid w:val="00220629"/>
    <w:rsid w:val="00220BD0"/>
    <w:rsid w:val="002226C9"/>
    <w:rsid w:val="00223D7B"/>
    <w:rsid w:val="00226ED6"/>
    <w:rsid w:val="00227559"/>
    <w:rsid w:val="002327E3"/>
    <w:rsid w:val="00232C2A"/>
    <w:rsid w:val="002332CD"/>
    <w:rsid w:val="00233675"/>
    <w:rsid w:val="00234D22"/>
    <w:rsid w:val="00235417"/>
    <w:rsid w:val="00243722"/>
    <w:rsid w:val="00244138"/>
    <w:rsid w:val="00244AD7"/>
    <w:rsid w:val="00245ECB"/>
    <w:rsid w:val="00255B63"/>
    <w:rsid w:val="00257B15"/>
    <w:rsid w:val="002609D3"/>
    <w:rsid w:val="0026413E"/>
    <w:rsid w:val="00265475"/>
    <w:rsid w:val="00275359"/>
    <w:rsid w:val="00277B15"/>
    <w:rsid w:val="00283273"/>
    <w:rsid w:val="00284B32"/>
    <w:rsid w:val="002914B7"/>
    <w:rsid w:val="00293AD4"/>
    <w:rsid w:val="00293B3D"/>
    <w:rsid w:val="002A3DDC"/>
    <w:rsid w:val="002A51C0"/>
    <w:rsid w:val="002B3638"/>
    <w:rsid w:val="002B5D23"/>
    <w:rsid w:val="002C3553"/>
    <w:rsid w:val="002D04D1"/>
    <w:rsid w:val="002D103E"/>
    <w:rsid w:val="002D331C"/>
    <w:rsid w:val="002D3682"/>
    <w:rsid w:val="002E0B2D"/>
    <w:rsid w:val="002E25A6"/>
    <w:rsid w:val="002E6832"/>
    <w:rsid w:val="002F1B00"/>
    <w:rsid w:val="002F3FD2"/>
    <w:rsid w:val="002F5E72"/>
    <w:rsid w:val="002F6F66"/>
    <w:rsid w:val="00303171"/>
    <w:rsid w:val="0030393E"/>
    <w:rsid w:val="00303B59"/>
    <w:rsid w:val="00313C31"/>
    <w:rsid w:val="00317C58"/>
    <w:rsid w:val="003321A7"/>
    <w:rsid w:val="00332213"/>
    <w:rsid w:val="0033471C"/>
    <w:rsid w:val="0033687C"/>
    <w:rsid w:val="00344AEF"/>
    <w:rsid w:val="00347148"/>
    <w:rsid w:val="00347915"/>
    <w:rsid w:val="00352062"/>
    <w:rsid w:val="00353FDE"/>
    <w:rsid w:val="00361B81"/>
    <w:rsid w:val="003626E5"/>
    <w:rsid w:val="00364D30"/>
    <w:rsid w:val="003673B7"/>
    <w:rsid w:val="00367FD8"/>
    <w:rsid w:val="003710BF"/>
    <w:rsid w:val="0037242A"/>
    <w:rsid w:val="00372503"/>
    <w:rsid w:val="00373A86"/>
    <w:rsid w:val="00373C26"/>
    <w:rsid w:val="00376391"/>
    <w:rsid w:val="0037682E"/>
    <w:rsid w:val="003824B0"/>
    <w:rsid w:val="00386BFF"/>
    <w:rsid w:val="00387F85"/>
    <w:rsid w:val="00391495"/>
    <w:rsid w:val="003950DC"/>
    <w:rsid w:val="00396314"/>
    <w:rsid w:val="00397656"/>
    <w:rsid w:val="00397C44"/>
    <w:rsid w:val="003A67D9"/>
    <w:rsid w:val="003A748D"/>
    <w:rsid w:val="003B3DA1"/>
    <w:rsid w:val="003B6C97"/>
    <w:rsid w:val="003C05E9"/>
    <w:rsid w:val="003C2CA4"/>
    <w:rsid w:val="003C3138"/>
    <w:rsid w:val="003D166E"/>
    <w:rsid w:val="003D7058"/>
    <w:rsid w:val="003E02AE"/>
    <w:rsid w:val="003E1CF1"/>
    <w:rsid w:val="003E73BC"/>
    <w:rsid w:val="003F0B6F"/>
    <w:rsid w:val="003F0BAF"/>
    <w:rsid w:val="003F15F8"/>
    <w:rsid w:val="003F23B3"/>
    <w:rsid w:val="003F2921"/>
    <w:rsid w:val="003F3451"/>
    <w:rsid w:val="003F6691"/>
    <w:rsid w:val="0040002A"/>
    <w:rsid w:val="0040081A"/>
    <w:rsid w:val="00402EF0"/>
    <w:rsid w:val="004034AE"/>
    <w:rsid w:val="00404023"/>
    <w:rsid w:val="0040457D"/>
    <w:rsid w:val="00404665"/>
    <w:rsid w:val="00406B50"/>
    <w:rsid w:val="0041163B"/>
    <w:rsid w:val="0041225F"/>
    <w:rsid w:val="00412B5D"/>
    <w:rsid w:val="004135CD"/>
    <w:rsid w:val="00414690"/>
    <w:rsid w:val="00422199"/>
    <w:rsid w:val="004234E8"/>
    <w:rsid w:val="00423F36"/>
    <w:rsid w:val="0042744D"/>
    <w:rsid w:val="00427DB9"/>
    <w:rsid w:val="00427ECC"/>
    <w:rsid w:val="00431043"/>
    <w:rsid w:val="004320D0"/>
    <w:rsid w:val="00433EC8"/>
    <w:rsid w:val="0043463A"/>
    <w:rsid w:val="00437C46"/>
    <w:rsid w:val="00445B19"/>
    <w:rsid w:val="00451F63"/>
    <w:rsid w:val="00452C67"/>
    <w:rsid w:val="00453A9F"/>
    <w:rsid w:val="0045558B"/>
    <w:rsid w:val="00464F14"/>
    <w:rsid w:val="004705FA"/>
    <w:rsid w:val="004712C7"/>
    <w:rsid w:val="004746FB"/>
    <w:rsid w:val="00477764"/>
    <w:rsid w:val="004818F1"/>
    <w:rsid w:val="004906F8"/>
    <w:rsid w:val="00491868"/>
    <w:rsid w:val="00496C70"/>
    <w:rsid w:val="004A1854"/>
    <w:rsid w:val="004A3DBD"/>
    <w:rsid w:val="004A6C53"/>
    <w:rsid w:val="004B4960"/>
    <w:rsid w:val="004B5124"/>
    <w:rsid w:val="004B596E"/>
    <w:rsid w:val="004B7C4E"/>
    <w:rsid w:val="004C43EB"/>
    <w:rsid w:val="004C5C11"/>
    <w:rsid w:val="004C6E5C"/>
    <w:rsid w:val="004C7C41"/>
    <w:rsid w:val="004D331F"/>
    <w:rsid w:val="004D4154"/>
    <w:rsid w:val="004D52B4"/>
    <w:rsid w:val="004E2991"/>
    <w:rsid w:val="004E4759"/>
    <w:rsid w:val="004F388C"/>
    <w:rsid w:val="004F4477"/>
    <w:rsid w:val="004F62ED"/>
    <w:rsid w:val="004F7D7B"/>
    <w:rsid w:val="00500DB8"/>
    <w:rsid w:val="005028B0"/>
    <w:rsid w:val="00504EAB"/>
    <w:rsid w:val="005111BC"/>
    <w:rsid w:val="00516163"/>
    <w:rsid w:val="005208BA"/>
    <w:rsid w:val="005209ED"/>
    <w:rsid w:val="00530ECD"/>
    <w:rsid w:val="005317D6"/>
    <w:rsid w:val="0053422F"/>
    <w:rsid w:val="00536BA3"/>
    <w:rsid w:val="00536EC4"/>
    <w:rsid w:val="005425A7"/>
    <w:rsid w:val="00542FC8"/>
    <w:rsid w:val="005441C7"/>
    <w:rsid w:val="00545D4F"/>
    <w:rsid w:val="00552384"/>
    <w:rsid w:val="0055243F"/>
    <w:rsid w:val="005536C7"/>
    <w:rsid w:val="0056368D"/>
    <w:rsid w:val="005658E5"/>
    <w:rsid w:val="0057157C"/>
    <w:rsid w:val="005720DA"/>
    <w:rsid w:val="005731EB"/>
    <w:rsid w:val="00577D00"/>
    <w:rsid w:val="00577D89"/>
    <w:rsid w:val="0058380C"/>
    <w:rsid w:val="00584E34"/>
    <w:rsid w:val="00585D75"/>
    <w:rsid w:val="00586EE4"/>
    <w:rsid w:val="005879BA"/>
    <w:rsid w:val="00593E80"/>
    <w:rsid w:val="00594804"/>
    <w:rsid w:val="005960D3"/>
    <w:rsid w:val="005969E5"/>
    <w:rsid w:val="00597859"/>
    <w:rsid w:val="005A0194"/>
    <w:rsid w:val="005A3006"/>
    <w:rsid w:val="005A45A5"/>
    <w:rsid w:val="005B3AB4"/>
    <w:rsid w:val="005B4E26"/>
    <w:rsid w:val="005B5330"/>
    <w:rsid w:val="005B692E"/>
    <w:rsid w:val="005B77A1"/>
    <w:rsid w:val="005C29A0"/>
    <w:rsid w:val="005C3B3D"/>
    <w:rsid w:val="005D1BCB"/>
    <w:rsid w:val="005D2D91"/>
    <w:rsid w:val="005D30BE"/>
    <w:rsid w:val="005E07D1"/>
    <w:rsid w:val="005E0F50"/>
    <w:rsid w:val="005E3190"/>
    <w:rsid w:val="005F32A0"/>
    <w:rsid w:val="0060332C"/>
    <w:rsid w:val="006036A4"/>
    <w:rsid w:val="0060625F"/>
    <w:rsid w:val="0060654B"/>
    <w:rsid w:val="00612E9C"/>
    <w:rsid w:val="00621F7E"/>
    <w:rsid w:val="00627096"/>
    <w:rsid w:val="0063162F"/>
    <w:rsid w:val="006332C4"/>
    <w:rsid w:val="00634099"/>
    <w:rsid w:val="00635F7A"/>
    <w:rsid w:val="00636A36"/>
    <w:rsid w:val="006370D5"/>
    <w:rsid w:val="006375EC"/>
    <w:rsid w:val="0064015D"/>
    <w:rsid w:val="0064734A"/>
    <w:rsid w:val="00650285"/>
    <w:rsid w:val="0065075F"/>
    <w:rsid w:val="00655467"/>
    <w:rsid w:val="00655C5B"/>
    <w:rsid w:val="006563A0"/>
    <w:rsid w:val="00657AE7"/>
    <w:rsid w:val="00660FC3"/>
    <w:rsid w:val="00662EFE"/>
    <w:rsid w:val="00663273"/>
    <w:rsid w:val="00664556"/>
    <w:rsid w:val="00664C02"/>
    <w:rsid w:val="00666D0E"/>
    <w:rsid w:val="006677D5"/>
    <w:rsid w:val="00672A4C"/>
    <w:rsid w:val="00673A89"/>
    <w:rsid w:val="00676B68"/>
    <w:rsid w:val="00677DDE"/>
    <w:rsid w:val="00681B9B"/>
    <w:rsid w:val="00683666"/>
    <w:rsid w:val="00686958"/>
    <w:rsid w:val="00690353"/>
    <w:rsid w:val="006951AA"/>
    <w:rsid w:val="00697DB3"/>
    <w:rsid w:val="006A0D80"/>
    <w:rsid w:val="006A77A0"/>
    <w:rsid w:val="006B063B"/>
    <w:rsid w:val="006B4B49"/>
    <w:rsid w:val="006C0DBD"/>
    <w:rsid w:val="006C12DA"/>
    <w:rsid w:val="006C2CF2"/>
    <w:rsid w:val="006C3C27"/>
    <w:rsid w:val="006C3D8D"/>
    <w:rsid w:val="006C7605"/>
    <w:rsid w:val="006D2056"/>
    <w:rsid w:val="006D2509"/>
    <w:rsid w:val="006D2623"/>
    <w:rsid w:val="006D26D9"/>
    <w:rsid w:val="006D354F"/>
    <w:rsid w:val="006E0D06"/>
    <w:rsid w:val="006E2037"/>
    <w:rsid w:val="006E408A"/>
    <w:rsid w:val="006E4CC9"/>
    <w:rsid w:val="006E5769"/>
    <w:rsid w:val="006E61CB"/>
    <w:rsid w:val="006E6C8F"/>
    <w:rsid w:val="006E721E"/>
    <w:rsid w:val="006E7282"/>
    <w:rsid w:val="006F5489"/>
    <w:rsid w:val="00701171"/>
    <w:rsid w:val="00702F84"/>
    <w:rsid w:val="0070316F"/>
    <w:rsid w:val="00704982"/>
    <w:rsid w:val="00706B7D"/>
    <w:rsid w:val="00714300"/>
    <w:rsid w:val="007266FA"/>
    <w:rsid w:val="00727423"/>
    <w:rsid w:val="00733281"/>
    <w:rsid w:val="00735A13"/>
    <w:rsid w:val="00735A7C"/>
    <w:rsid w:val="0073610D"/>
    <w:rsid w:val="00737FBE"/>
    <w:rsid w:val="0074531A"/>
    <w:rsid w:val="00745914"/>
    <w:rsid w:val="00746AFC"/>
    <w:rsid w:val="00746BDC"/>
    <w:rsid w:val="00747BBA"/>
    <w:rsid w:val="00750DD1"/>
    <w:rsid w:val="007520FE"/>
    <w:rsid w:val="00752876"/>
    <w:rsid w:val="0075592C"/>
    <w:rsid w:val="00756B7A"/>
    <w:rsid w:val="0075700B"/>
    <w:rsid w:val="007577F4"/>
    <w:rsid w:val="007630C3"/>
    <w:rsid w:val="00764796"/>
    <w:rsid w:val="00765608"/>
    <w:rsid w:val="00766301"/>
    <w:rsid w:val="0076663A"/>
    <w:rsid w:val="0076732C"/>
    <w:rsid w:val="00777515"/>
    <w:rsid w:val="007903F1"/>
    <w:rsid w:val="00793B8D"/>
    <w:rsid w:val="00793F95"/>
    <w:rsid w:val="00796C31"/>
    <w:rsid w:val="007A09F8"/>
    <w:rsid w:val="007A1F65"/>
    <w:rsid w:val="007A296C"/>
    <w:rsid w:val="007A30CF"/>
    <w:rsid w:val="007A4080"/>
    <w:rsid w:val="007B15BE"/>
    <w:rsid w:val="007B4D29"/>
    <w:rsid w:val="007C4D06"/>
    <w:rsid w:val="007C4EA8"/>
    <w:rsid w:val="007D1FBD"/>
    <w:rsid w:val="007D36AA"/>
    <w:rsid w:val="007D3FD7"/>
    <w:rsid w:val="007D4A75"/>
    <w:rsid w:val="007D629E"/>
    <w:rsid w:val="007E0A9E"/>
    <w:rsid w:val="007E5785"/>
    <w:rsid w:val="007F0563"/>
    <w:rsid w:val="007F11E1"/>
    <w:rsid w:val="007F1969"/>
    <w:rsid w:val="007F7256"/>
    <w:rsid w:val="00800564"/>
    <w:rsid w:val="0080150E"/>
    <w:rsid w:val="0080158F"/>
    <w:rsid w:val="00802EE8"/>
    <w:rsid w:val="008033A1"/>
    <w:rsid w:val="00805817"/>
    <w:rsid w:val="0080673C"/>
    <w:rsid w:val="00810328"/>
    <w:rsid w:val="00810C50"/>
    <w:rsid w:val="00811693"/>
    <w:rsid w:val="0082016D"/>
    <w:rsid w:val="00822BB7"/>
    <w:rsid w:val="008237B6"/>
    <w:rsid w:val="00825DB2"/>
    <w:rsid w:val="00830352"/>
    <w:rsid w:val="008375B2"/>
    <w:rsid w:val="00847737"/>
    <w:rsid w:val="00855137"/>
    <w:rsid w:val="008551E8"/>
    <w:rsid w:val="00861130"/>
    <w:rsid w:val="00861A22"/>
    <w:rsid w:val="00862F2E"/>
    <w:rsid w:val="00864A5F"/>
    <w:rsid w:val="00865086"/>
    <w:rsid w:val="008741A5"/>
    <w:rsid w:val="00874447"/>
    <w:rsid w:val="008748D9"/>
    <w:rsid w:val="008754C8"/>
    <w:rsid w:val="008762C6"/>
    <w:rsid w:val="0088276E"/>
    <w:rsid w:val="00884814"/>
    <w:rsid w:val="0088545C"/>
    <w:rsid w:val="00892079"/>
    <w:rsid w:val="00892FEA"/>
    <w:rsid w:val="00894D70"/>
    <w:rsid w:val="00896953"/>
    <w:rsid w:val="0089722B"/>
    <w:rsid w:val="008A01A3"/>
    <w:rsid w:val="008A0588"/>
    <w:rsid w:val="008B0A99"/>
    <w:rsid w:val="008B318A"/>
    <w:rsid w:val="008B3874"/>
    <w:rsid w:val="008B47F4"/>
    <w:rsid w:val="008B79F2"/>
    <w:rsid w:val="008C02FA"/>
    <w:rsid w:val="008C0452"/>
    <w:rsid w:val="008C17E5"/>
    <w:rsid w:val="008D10B2"/>
    <w:rsid w:val="008D21AA"/>
    <w:rsid w:val="008D23BB"/>
    <w:rsid w:val="008D4087"/>
    <w:rsid w:val="008D5178"/>
    <w:rsid w:val="008E0078"/>
    <w:rsid w:val="008E30A9"/>
    <w:rsid w:val="008F03AB"/>
    <w:rsid w:val="008F3C7F"/>
    <w:rsid w:val="008F43D9"/>
    <w:rsid w:val="00903ECE"/>
    <w:rsid w:val="00905108"/>
    <w:rsid w:val="009168D0"/>
    <w:rsid w:val="009242B9"/>
    <w:rsid w:val="0092463A"/>
    <w:rsid w:val="00925760"/>
    <w:rsid w:val="00931867"/>
    <w:rsid w:val="00936D29"/>
    <w:rsid w:val="00936F30"/>
    <w:rsid w:val="00944B2D"/>
    <w:rsid w:val="00947F84"/>
    <w:rsid w:val="009501F6"/>
    <w:rsid w:val="00953BE3"/>
    <w:rsid w:val="009542A3"/>
    <w:rsid w:val="0096030E"/>
    <w:rsid w:val="0096059C"/>
    <w:rsid w:val="00960A15"/>
    <w:rsid w:val="00961264"/>
    <w:rsid w:val="00967FBA"/>
    <w:rsid w:val="009710F9"/>
    <w:rsid w:val="009746BB"/>
    <w:rsid w:val="009778D4"/>
    <w:rsid w:val="00977FF0"/>
    <w:rsid w:val="00980A1F"/>
    <w:rsid w:val="00981E4C"/>
    <w:rsid w:val="00982C54"/>
    <w:rsid w:val="009831C1"/>
    <w:rsid w:val="00984C08"/>
    <w:rsid w:val="00991304"/>
    <w:rsid w:val="00991C9F"/>
    <w:rsid w:val="009A06C5"/>
    <w:rsid w:val="009A1B93"/>
    <w:rsid w:val="009A1EEE"/>
    <w:rsid w:val="009A2731"/>
    <w:rsid w:val="009A2E7E"/>
    <w:rsid w:val="009A6A68"/>
    <w:rsid w:val="009A7364"/>
    <w:rsid w:val="009B17C5"/>
    <w:rsid w:val="009B3138"/>
    <w:rsid w:val="009B4CEC"/>
    <w:rsid w:val="009C1AD9"/>
    <w:rsid w:val="009C2BF7"/>
    <w:rsid w:val="009C7E46"/>
    <w:rsid w:val="009D18ED"/>
    <w:rsid w:val="009D2C7A"/>
    <w:rsid w:val="009D47E9"/>
    <w:rsid w:val="009E2FF6"/>
    <w:rsid w:val="009E3A80"/>
    <w:rsid w:val="009E4EF7"/>
    <w:rsid w:val="009E509C"/>
    <w:rsid w:val="009F0959"/>
    <w:rsid w:val="009F1162"/>
    <w:rsid w:val="009F6FA6"/>
    <w:rsid w:val="00A03954"/>
    <w:rsid w:val="00A0603D"/>
    <w:rsid w:val="00A0619F"/>
    <w:rsid w:val="00A071CC"/>
    <w:rsid w:val="00A10A88"/>
    <w:rsid w:val="00A248AE"/>
    <w:rsid w:val="00A25860"/>
    <w:rsid w:val="00A3167D"/>
    <w:rsid w:val="00A33E5C"/>
    <w:rsid w:val="00A36DE2"/>
    <w:rsid w:val="00A444EE"/>
    <w:rsid w:val="00A479A7"/>
    <w:rsid w:val="00A5160D"/>
    <w:rsid w:val="00A52774"/>
    <w:rsid w:val="00A54294"/>
    <w:rsid w:val="00A5676D"/>
    <w:rsid w:val="00A56FB8"/>
    <w:rsid w:val="00A56FDF"/>
    <w:rsid w:val="00A615EC"/>
    <w:rsid w:val="00A621D1"/>
    <w:rsid w:val="00A63AF7"/>
    <w:rsid w:val="00A63C1B"/>
    <w:rsid w:val="00A64DB6"/>
    <w:rsid w:val="00A6572D"/>
    <w:rsid w:val="00A72EFE"/>
    <w:rsid w:val="00A75E8B"/>
    <w:rsid w:val="00A771FD"/>
    <w:rsid w:val="00A833B9"/>
    <w:rsid w:val="00A8440E"/>
    <w:rsid w:val="00A9024E"/>
    <w:rsid w:val="00A9145E"/>
    <w:rsid w:val="00A91564"/>
    <w:rsid w:val="00A95007"/>
    <w:rsid w:val="00A95F8D"/>
    <w:rsid w:val="00AA2791"/>
    <w:rsid w:val="00AA4AA4"/>
    <w:rsid w:val="00AA50B9"/>
    <w:rsid w:val="00AA5344"/>
    <w:rsid w:val="00AA7697"/>
    <w:rsid w:val="00AA7BA7"/>
    <w:rsid w:val="00AC208F"/>
    <w:rsid w:val="00AC2B50"/>
    <w:rsid w:val="00AC32B8"/>
    <w:rsid w:val="00AC3875"/>
    <w:rsid w:val="00AC5420"/>
    <w:rsid w:val="00AC6E98"/>
    <w:rsid w:val="00AD00F9"/>
    <w:rsid w:val="00AD089C"/>
    <w:rsid w:val="00AD1237"/>
    <w:rsid w:val="00AD12AB"/>
    <w:rsid w:val="00AD222D"/>
    <w:rsid w:val="00AD3537"/>
    <w:rsid w:val="00AD3690"/>
    <w:rsid w:val="00AE3964"/>
    <w:rsid w:val="00AE58A8"/>
    <w:rsid w:val="00AE67F6"/>
    <w:rsid w:val="00AE6A26"/>
    <w:rsid w:val="00AE7A4E"/>
    <w:rsid w:val="00AF330E"/>
    <w:rsid w:val="00AF7275"/>
    <w:rsid w:val="00AF7DF1"/>
    <w:rsid w:val="00B006B7"/>
    <w:rsid w:val="00B0243C"/>
    <w:rsid w:val="00B02C50"/>
    <w:rsid w:val="00B03A6E"/>
    <w:rsid w:val="00B12C8C"/>
    <w:rsid w:val="00B15455"/>
    <w:rsid w:val="00B16CEC"/>
    <w:rsid w:val="00B16DBB"/>
    <w:rsid w:val="00B17EBD"/>
    <w:rsid w:val="00B2363D"/>
    <w:rsid w:val="00B238C9"/>
    <w:rsid w:val="00B33483"/>
    <w:rsid w:val="00B338D6"/>
    <w:rsid w:val="00B33C08"/>
    <w:rsid w:val="00B37D0C"/>
    <w:rsid w:val="00B37F1A"/>
    <w:rsid w:val="00B41741"/>
    <w:rsid w:val="00B43721"/>
    <w:rsid w:val="00B45416"/>
    <w:rsid w:val="00B53AB2"/>
    <w:rsid w:val="00B548D2"/>
    <w:rsid w:val="00B55B81"/>
    <w:rsid w:val="00B56C62"/>
    <w:rsid w:val="00B56F05"/>
    <w:rsid w:val="00B62389"/>
    <w:rsid w:val="00B70248"/>
    <w:rsid w:val="00B75DFE"/>
    <w:rsid w:val="00B811CC"/>
    <w:rsid w:val="00B84661"/>
    <w:rsid w:val="00B917EE"/>
    <w:rsid w:val="00B92704"/>
    <w:rsid w:val="00B9452E"/>
    <w:rsid w:val="00B94660"/>
    <w:rsid w:val="00B94A0D"/>
    <w:rsid w:val="00B96E2E"/>
    <w:rsid w:val="00BA23EE"/>
    <w:rsid w:val="00BA2DC2"/>
    <w:rsid w:val="00BA3298"/>
    <w:rsid w:val="00BA34DC"/>
    <w:rsid w:val="00BA724F"/>
    <w:rsid w:val="00BA7439"/>
    <w:rsid w:val="00BB0C46"/>
    <w:rsid w:val="00BB23EB"/>
    <w:rsid w:val="00BB244B"/>
    <w:rsid w:val="00BC04A7"/>
    <w:rsid w:val="00BC2628"/>
    <w:rsid w:val="00BC32AB"/>
    <w:rsid w:val="00BC5177"/>
    <w:rsid w:val="00BC5288"/>
    <w:rsid w:val="00BC63B3"/>
    <w:rsid w:val="00BC6BE1"/>
    <w:rsid w:val="00BD39B5"/>
    <w:rsid w:val="00BE254B"/>
    <w:rsid w:val="00BE3686"/>
    <w:rsid w:val="00BE44A0"/>
    <w:rsid w:val="00BE467F"/>
    <w:rsid w:val="00BE46DB"/>
    <w:rsid w:val="00BE5352"/>
    <w:rsid w:val="00BE6AF1"/>
    <w:rsid w:val="00BF0CAE"/>
    <w:rsid w:val="00BF115F"/>
    <w:rsid w:val="00C03D6D"/>
    <w:rsid w:val="00C0632D"/>
    <w:rsid w:val="00C07493"/>
    <w:rsid w:val="00C07C7C"/>
    <w:rsid w:val="00C100E3"/>
    <w:rsid w:val="00C162C6"/>
    <w:rsid w:val="00C25C5B"/>
    <w:rsid w:val="00C3125F"/>
    <w:rsid w:val="00C3505E"/>
    <w:rsid w:val="00C36C78"/>
    <w:rsid w:val="00C43DBD"/>
    <w:rsid w:val="00C46214"/>
    <w:rsid w:val="00C54DA3"/>
    <w:rsid w:val="00C55C8D"/>
    <w:rsid w:val="00C56FEB"/>
    <w:rsid w:val="00C60FE4"/>
    <w:rsid w:val="00C644FB"/>
    <w:rsid w:val="00C66244"/>
    <w:rsid w:val="00C66B7A"/>
    <w:rsid w:val="00C71131"/>
    <w:rsid w:val="00C73FCD"/>
    <w:rsid w:val="00C75422"/>
    <w:rsid w:val="00C86719"/>
    <w:rsid w:val="00C914A3"/>
    <w:rsid w:val="00CA20AC"/>
    <w:rsid w:val="00CA2393"/>
    <w:rsid w:val="00CA3D5E"/>
    <w:rsid w:val="00CA491A"/>
    <w:rsid w:val="00CA62D5"/>
    <w:rsid w:val="00CB2405"/>
    <w:rsid w:val="00CB3D8B"/>
    <w:rsid w:val="00CB6213"/>
    <w:rsid w:val="00CB6FF4"/>
    <w:rsid w:val="00CC2838"/>
    <w:rsid w:val="00CC7E43"/>
    <w:rsid w:val="00CD3A1C"/>
    <w:rsid w:val="00CD5DB7"/>
    <w:rsid w:val="00CD62C5"/>
    <w:rsid w:val="00CD7D81"/>
    <w:rsid w:val="00CE4DEB"/>
    <w:rsid w:val="00CE4F55"/>
    <w:rsid w:val="00CE5DBF"/>
    <w:rsid w:val="00CE7020"/>
    <w:rsid w:val="00CE795C"/>
    <w:rsid w:val="00CF145E"/>
    <w:rsid w:val="00D02358"/>
    <w:rsid w:val="00D02EAC"/>
    <w:rsid w:val="00D03092"/>
    <w:rsid w:val="00D062F4"/>
    <w:rsid w:val="00D06C81"/>
    <w:rsid w:val="00D13743"/>
    <w:rsid w:val="00D14500"/>
    <w:rsid w:val="00D20D55"/>
    <w:rsid w:val="00D215B8"/>
    <w:rsid w:val="00D2368C"/>
    <w:rsid w:val="00D240D3"/>
    <w:rsid w:val="00D2443B"/>
    <w:rsid w:val="00D2670B"/>
    <w:rsid w:val="00D27DC6"/>
    <w:rsid w:val="00D330E2"/>
    <w:rsid w:val="00D35BA1"/>
    <w:rsid w:val="00D37B92"/>
    <w:rsid w:val="00D4263F"/>
    <w:rsid w:val="00D431DB"/>
    <w:rsid w:val="00D4325B"/>
    <w:rsid w:val="00D50C2C"/>
    <w:rsid w:val="00D534C4"/>
    <w:rsid w:val="00D54D96"/>
    <w:rsid w:val="00D6055F"/>
    <w:rsid w:val="00D64A96"/>
    <w:rsid w:val="00D651C7"/>
    <w:rsid w:val="00D65814"/>
    <w:rsid w:val="00D67515"/>
    <w:rsid w:val="00D71E29"/>
    <w:rsid w:val="00D74845"/>
    <w:rsid w:val="00D75205"/>
    <w:rsid w:val="00D7738E"/>
    <w:rsid w:val="00D80211"/>
    <w:rsid w:val="00D82E87"/>
    <w:rsid w:val="00D851E9"/>
    <w:rsid w:val="00D91778"/>
    <w:rsid w:val="00D95A8B"/>
    <w:rsid w:val="00DA43F5"/>
    <w:rsid w:val="00DA5B70"/>
    <w:rsid w:val="00DB2201"/>
    <w:rsid w:val="00DB468C"/>
    <w:rsid w:val="00DB537D"/>
    <w:rsid w:val="00DB70EF"/>
    <w:rsid w:val="00DC1B25"/>
    <w:rsid w:val="00DC6683"/>
    <w:rsid w:val="00DC72A0"/>
    <w:rsid w:val="00DD276F"/>
    <w:rsid w:val="00DD2ABA"/>
    <w:rsid w:val="00DD646D"/>
    <w:rsid w:val="00DE0A17"/>
    <w:rsid w:val="00DE15EA"/>
    <w:rsid w:val="00DE1B14"/>
    <w:rsid w:val="00DE2983"/>
    <w:rsid w:val="00DE4678"/>
    <w:rsid w:val="00DF1075"/>
    <w:rsid w:val="00DF24C5"/>
    <w:rsid w:val="00DF3679"/>
    <w:rsid w:val="00DF3A17"/>
    <w:rsid w:val="00DF4651"/>
    <w:rsid w:val="00DF6D1A"/>
    <w:rsid w:val="00E00F43"/>
    <w:rsid w:val="00E0125C"/>
    <w:rsid w:val="00E019E4"/>
    <w:rsid w:val="00E0248F"/>
    <w:rsid w:val="00E02E3D"/>
    <w:rsid w:val="00E0409E"/>
    <w:rsid w:val="00E043B8"/>
    <w:rsid w:val="00E065B2"/>
    <w:rsid w:val="00E105E2"/>
    <w:rsid w:val="00E12B75"/>
    <w:rsid w:val="00E12FFE"/>
    <w:rsid w:val="00E14EC7"/>
    <w:rsid w:val="00E154F1"/>
    <w:rsid w:val="00E16FFB"/>
    <w:rsid w:val="00E218E4"/>
    <w:rsid w:val="00E2502C"/>
    <w:rsid w:val="00E2718B"/>
    <w:rsid w:val="00E31EF2"/>
    <w:rsid w:val="00E33E9A"/>
    <w:rsid w:val="00E358FA"/>
    <w:rsid w:val="00E42199"/>
    <w:rsid w:val="00E424F2"/>
    <w:rsid w:val="00E50562"/>
    <w:rsid w:val="00E53518"/>
    <w:rsid w:val="00E56E4C"/>
    <w:rsid w:val="00E57A48"/>
    <w:rsid w:val="00E57F79"/>
    <w:rsid w:val="00E65462"/>
    <w:rsid w:val="00E70B3D"/>
    <w:rsid w:val="00E72732"/>
    <w:rsid w:val="00E7601F"/>
    <w:rsid w:val="00E81BA6"/>
    <w:rsid w:val="00E848AF"/>
    <w:rsid w:val="00E86E8A"/>
    <w:rsid w:val="00E870A3"/>
    <w:rsid w:val="00E90837"/>
    <w:rsid w:val="00E9352A"/>
    <w:rsid w:val="00E93EFA"/>
    <w:rsid w:val="00E94770"/>
    <w:rsid w:val="00EA2022"/>
    <w:rsid w:val="00EB42B8"/>
    <w:rsid w:val="00EB5B6A"/>
    <w:rsid w:val="00EC102E"/>
    <w:rsid w:val="00EC65BA"/>
    <w:rsid w:val="00ED2FC5"/>
    <w:rsid w:val="00ED5DCE"/>
    <w:rsid w:val="00EE353B"/>
    <w:rsid w:val="00EE4FA0"/>
    <w:rsid w:val="00EE7382"/>
    <w:rsid w:val="00EF1AC1"/>
    <w:rsid w:val="00F02C31"/>
    <w:rsid w:val="00F03C01"/>
    <w:rsid w:val="00F1486B"/>
    <w:rsid w:val="00F14ABA"/>
    <w:rsid w:val="00F153E4"/>
    <w:rsid w:val="00F1742F"/>
    <w:rsid w:val="00F24869"/>
    <w:rsid w:val="00F25A88"/>
    <w:rsid w:val="00F26549"/>
    <w:rsid w:val="00F30BB8"/>
    <w:rsid w:val="00F37B74"/>
    <w:rsid w:val="00F415C9"/>
    <w:rsid w:val="00F4355A"/>
    <w:rsid w:val="00F46F45"/>
    <w:rsid w:val="00F4799B"/>
    <w:rsid w:val="00F505A0"/>
    <w:rsid w:val="00F508F4"/>
    <w:rsid w:val="00F51310"/>
    <w:rsid w:val="00F6099E"/>
    <w:rsid w:val="00F62F67"/>
    <w:rsid w:val="00F65360"/>
    <w:rsid w:val="00F66E4C"/>
    <w:rsid w:val="00F77075"/>
    <w:rsid w:val="00F82B8A"/>
    <w:rsid w:val="00F83E68"/>
    <w:rsid w:val="00F845D1"/>
    <w:rsid w:val="00F85577"/>
    <w:rsid w:val="00F85689"/>
    <w:rsid w:val="00F90A93"/>
    <w:rsid w:val="00F92BA6"/>
    <w:rsid w:val="00FA5361"/>
    <w:rsid w:val="00FA5498"/>
    <w:rsid w:val="00FB177F"/>
    <w:rsid w:val="00FB3A14"/>
    <w:rsid w:val="00FB615C"/>
    <w:rsid w:val="00FC1C52"/>
    <w:rsid w:val="00FC2B98"/>
    <w:rsid w:val="00FC54CB"/>
    <w:rsid w:val="00FD0874"/>
    <w:rsid w:val="00FD15B2"/>
    <w:rsid w:val="00FE1F4A"/>
    <w:rsid w:val="00FE2922"/>
    <w:rsid w:val="00FE52C3"/>
    <w:rsid w:val="00FE5317"/>
    <w:rsid w:val="00FE6A4F"/>
    <w:rsid w:val="00FF4D95"/>
    <w:rsid w:val="00FF55C9"/>
    <w:rsid w:val="00FF78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89040"/>
  <w15:chartTrackingRefBased/>
  <w15:docId w15:val="{3CE861C3-9822-4DDF-9D8F-969337D6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2B9"/>
    <w:rPr>
      <w:rFonts w:ascii="Times New Roman" w:eastAsia="Times New Roman" w:hAnsi="Times New Roman"/>
      <w:sz w:val="24"/>
      <w:szCs w:val="24"/>
    </w:rPr>
  </w:style>
  <w:style w:type="paragraph" w:styleId="Heading1">
    <w:name w:val="heading 1"/>
    <w:basedOn w:val="Normal"/>
    <w:next w:val="Normal"/>
    <w:link w:val="Heading1Char"/>
    <w:qFormat/>
    <w:rsid w:val="009E2FF6"/>
    <w:pPr>
      <w:keepNext/>
      <w:spacing w:line="360" w:lineRule="auto"/>
      <w:jc w:val="center"/>
      <w:outlineLvl w:val="0"/>
    </w:pPr>
    <w:rPr>
      <w:rFonts w:ascii="Arial" w:hAnsi="Arial"/>
      <w:b/>
      <w:sz w:val="28"/>
      <w:szCs w:val="20"/>
      <w:lang w:val="x-none" w:eastAsia="x-none"/>
    </w:rPr>
  </w:style>
  <w:style w:type="paragraph" w:styleId="Heading3">
    <w:name w:val="heading 3"/>
    <w:basedOn w:val="Normal"/>
    <w:next w:val="Normal"/>
    <w:link w:val="Heading3Char"/>
    <w:uiPriority w:val="9"/>
    <w:semiHidden/>
    <w:unhideWhenUsed/>
    <w:qFormat/>
    <w:rsid w:val="009E2FF6"/>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2FF6"/>
    <w:rPr>
      <w:rFonts w:ascii="Arial" w:eastAsia="Times New Roman" w:hAnsi="Arial" w:cs="Times New Roman"/>
      <w:b/>
      <w:sz w:val="28"/>
      <w:szCs w:val="20"/>
    </w:rPr>
  </w:style>
  <w:style w:type="character" w:customStyle="1" w:styleId="Heading3Char">
    <w:name w:val="Heading 3 Char"/>
    <w:link w:val="Heading3"/>
    <w:uiPriority w:val="9"/>
    <w:semiHidden/>
    <w:rsid w:val="009E2FF6"/>
    <w:rPr>
      <w:rFonts w:ascii="Cambria" w:eastAsia="Times New Roman" w:hAnsi="Cambria" w:cs="Times New Roman"/>
      <w:b/>
      <w:bCs/>
      <w:sz w:val="26"/>
      <w:szCs w:val="26"/>
    </w:rPr>
  </w:style>
  <w:style w:type="paragraph" w:customStyle="1" w:styleId="Patvirtinta">
    <w:name w:val="Patvirtinta"/>
    <w:rsid w:val="009E2FF6"/>
    <w:pPr>
      <w:tabs>
        <w:tab w:val="left" w:pos="1304"/>
        <w:tab w:val="left" w:pos="1457"/>
        <w:tab w:val="left" w:pos="1604"/>
        <w:tab w:val="left" w:pos="1757"/>
      </w:tabs>
      <w:ind w:left="5953"/>
      <w:jc w:val="center"/>
    </w:pPr>
    <w:rPr>
      <w:rFonts w:ascii="TimesLT" w:eastAsia="Times New Roman" w:hAnsi="TimesLT"/>
      <w:snapToGrid w:val="0"/>
      <w:lang w:val="en-US"/>
    </w:rPr>
  </w:style>
  <w:style w:type="paragraph" w:styleId="BodyText">
    <w:name w:val="Body Text"/>
    <w:basedOn w:val="Normal"/>
    <w:link w:val="BodyTextChar"/>
    <w:rsid w:val="009E2FF6"/>
    <w:pPr>
      <w:jc w:val="both"/>
    </w:pPr>
    <w:rPr>
      <w:szCs w:val="20"/>
      <w:lang w:val="x-none" w:eastAsia="x-none"/>
    </w:rPr>
  </w:style>
  <w:style w:type="character" w:customStyle="1" w:styleId="BodyTextChar">
    <w:name w:val="Body Text Char"/>
    <w:link w:val="BodyText"/>
    <w:rsid w:val="009E2FF6"/>
    <w:rPr>
      <w:rFonts w:ascii="Times New Roman" w:eastAsia="Times New Roman" w:hAnsi="Times New Roman" w:cs="Times New Roman"/>
      <w:sz w:val="24"/>
      <w:szCs w:val="20"/>
    </w:rPr>
  </w:style>
  <w:style w:type="character" w:styleId="CommentReference">
    <w:name w:val="annotation reference"/>
    <w:unhideWhenUsed/>
    <w:rsid w:val="00A36DE2"/>
    <w:rPr>
      <w:sz w:val="16"/>
      <w:szCs w:val="16"/>
    </w:rPr>
  </w:style>
  <w:style w:type="paragraph" w:styleId="CommentText">
    <w:name w:val="annotation text"/>
    <w:basedOn w:val="Normal"/>
    <w:link w:val="CommentTextChar"/>
    <w:unhideWhenUsed/>
    <w:rsid w:val="00A36DE2"/>
    <w:rPr>
      <w:sz w:val="20"/>
      <w:szCs w:val="20"/>
      <w:lang w:val="x-none" w:eastAsia="x-none"/>
    </w:rPr>
  </w:style>
  <w:style w:type="character" w:customStyle="1" w:styleId="CommentTextChar">
    <w:name w:val="Comment Text Char"/>
    <w:link w:val="CommentText"/>
    <w:rsid w:val="00A36D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36DE2"/>
    <w:rPr>
      <w:b/>
      <w:bCs/>
    </w:rPr>
  </w:style>
  <w:style w:type="character" w:customStyle="1" w:styleId="CommentSubjectChar">
    <w:name w:val="Comment Subject Char"/>
    <w:link w:val="CommentSubject"/>
    <w:uiPriority w:val="99"/>
    <w:semiHidden/>
    <w:rsid w:val="00A36DE2"/>
    <w:rPr>
      <w:rFonts w:ascii="Times New Roman" w:eastAsia="Times New Roman" w:hAnsi="Times New Roman"/>
      <w:b/>
      <w:bCs/>
    </w:rPr>
  </w:style>
  <w:style w:type="paragraph" w:styleId="BalloonText">
    <w:name w:val="Balloon Text"/>
    <w:basedOn w:val="Normal"/>
    <w:link w:val="BalloonTextChar"/>
    <w:uiPriority w:val="99"/>
    <w:semiHidden/>
    <w:unhideWhenUsed/>
    <w:rsid w:val="00A36DE2"/>
    <w:rPr>
      <w:rFonts w:ascii="Segoe UI" w:hAnsi="Segoe UI"/>
      <w:sz w:val="18"/>
      <w:szCs w:val="18"/>
      <w:lang w:val="x-none" w:eastAsia="x-none"/>
    </w:rPr>
  </w:style>
  <w:style w:type="character" w:customStyle="1" w:styleId="BalloonTextChar">
    <w:name w:val="Balloon Text Char"/>
    <w:link w:val="BalloonText"/>
    <w:uiPriority w:val="99"/>
    <w:semiHidden/>
    <w:rsid w:val="00A36DE2"/>
    <w:rPr>
      <w:rFonts w:ascii="Segoe UI" w:eastAsia="Times New Roman" w:hAnsi="Segoe UI" w:cs="Segoe UI"/>
      <w:sz w:val="18"/>
      <w:szCs w:val="18"/>
    </w:rPr>
  </w:style>
  <w:style w:type="paragraph" w:styleId="Header">
    <w:name w:val="header"/>
    <w:basedOn w:val="Normal"/>
    <w:link w:val="HeaderChar"/>
    <w:uiPriority w:val="99"/>
    <w:unhideWhenUsed/>
    <w:rsid w:val="00AE67F6"/>
    <w:pPr>
      <w:tabs>
        <w:tab w:val="center" w:pos="4819"/>
        <w:tab w:val="right" w:pos="9638"/>
      </w:tabs>
    </w:pPr>
    <w:rPr>
      <w:lang w:val="x-none" w:eastAsia="x-none"/>
    </w:rPr>
  </w:style>
  <w:style w:type="character" w:customStyle="1" w:styleId="HeaderChar">
    <w:name w:val="Header Char"/>
    <w:link w:val="Header"/>
    <w:uiPriority w:val="99"/>
    <w:rsid w:val="00AE67F6"/>
    <w:rPr>
      <w:rFonts w:ascii="Times New Roman" w:eastAsia="Times New Roman" w:hAnsi="Times New Roman"/>
      <w:sz w:val="24"/>
      <w:szCs w:val="24"/>
    </w:rPr>
  </w:style>
  <w:style w:type="paragraph" w:styleId="Footer">
    <w:name w:val="footer"/>
    <w:basedOn w:val="Normal"/>
    <w:link w:val="FooterChar"/>
    <w:uiPriority w:val="99"/>
    <w:unhideWhenUsed/>
    <w:rsid w:val="00AE67F6"/>
    <w:pPr>
      <w:tabs>
        <w:tab w:val="center" w:pos="4819"/>
        <w:tab w:val="right" w:pos="9638"/>
      </w:tabs>
    </w:pPr>
    <w:rPr>
      <w:lang w:val="x-none" w:eastAsia="x-none"/>
    </w:rPr>
  </w:style>
  <w:style w:type="character" w:customStyle="1" w:styleId="FooterChar">
    <w:name w:val="Footer Char"/>
    <w:link w:val="Footer"/>
    <w:uiPriority w:val="99"/>
    <w:rsid w:val="00AE67F6"/>
    <w:rPr>
      <w:rFonts w:ascii="Times New Roman" w:eastAsia="Times New Roman" w:hAnsi="Times New Roman"/>
      <w:sz w:val="24"/>
      <w:szCs w:val="24"/>
    </w:rPr>
  </w:style>
  <w:style w:type="table" w:styleId="TableGrid">
    <w:name w:val="Table Grid"/>
    <w:basedOn w:val="TableNormal"/>
    <w:uiPriority w:val="59"/>
    <w:rsid w:val="00C7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5C5B"/>
    <w:rPr>
      <w:rFonts w:ascii="Times New Roman" w:eastAsia="Times New Roman" w:hAnsi="Times New Roman"/>
      <w:sz w:val="24"/>
      <w:szCs w:val="24"/>
    </w:rPr>
  </w:style>
  <w:style w:type="character" w:styleId="Hyperlink">
    <w:name w:val="Hyperlink"/>
    <w:uiPriority w:val="99"/>
    <w:semiHidden/>
    <w:unhideWhenUsed/>
    <w:rsid w:val="00655C5B"/>
    <w:rPr>
      <w:color w:val="0000FF"/>
      <w:u w:val="single"/>
    </w:rPr>
  </w:style>
  <w:style w:type="paragraph" w:styleId="HTMLPreformatted">
    <w:name w:val="HTML Preformatted"/>
    <w:basedOn w:val="Normal"/>
    <w:link w:val="HTMLPreformattedChar"/>
    <w:uiPriority w:val="99"/>
    <w:semiHidden/>
    <w:unhideWhenUsed/>
    <w:rsid w:val="0065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PreformattedChar">
    <w:name w:val="HTML Preformatted Char"/>
    <w:link w:val="HTMLPreformatted"/>
    <w:uiPriority w:val="99"/>
    <w:semiHidden/>
    <w:rsid w:val="00655C5B"/>
    <w:rPr>
      <w:rFonts w:ascii="Courier New" w:eastAsia="Times New Roman" w:hAnsi="Courier New" w:cs="Courier New"/>
    </w:rPr>
  </w:style>
  <w:style w:type="paragraph" w:customStyle="1" w:styleId="CentrBold">
    <w:name w:val="CentrBold"/>
    <w:rsid w:val="00A91564"/>
    <w:pPr>
      <w:autoSpaceDE w:val="0"/>
      <w:autoSpaceDN w:val="0"/>
      <w:adjustRightInd w:val="0"/>
      <w:jc w:val="center"/>
    </w:pPr>
    <w:rPr>
      <w:rFonts w:ascii="TimesLT" w:eastAsia="Times New Roman" w:hAnsi="TimesLT" w:cs="TimesLT"/>
      <w:b/>
      <w:bCs/>
      <w:caps/>
      <w:lang w:val="en-US" w:eastAsia="en-US"/>
    </w:rPr>
  </w:style>
  <w:style w:type="paragraph" w:styleId="ListParagraph">
    <w:name w:val="List Paragraph"/>
    <w:basedOn w:val="Normal"/>
    <w:uiPriority w:val="34"/>
    <w:qFormat/>
    <w:rsid w:val="00A91564"/>
    <w:pPr>
      <w:ind w:left="720"/>
    </w:pPr>
  </w:style>
  <w:style w:type="paragraph" w:customStyle="1" w:styleId="Default">
    <w:name w:val="Default"/>
    <w:rsid w:val="0063162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6754">
      <w:bodyDiv w:val="1"/>
      <w:marLeft w:val="0"/>
      <w:marRight w:val="0"/>
      <w:marTop w:val="0"/>
      <w:marBottom w:val="0"/>
      <w:divBdr>
        <w:top w:val="none" w:sz="0" w:space="0" w:color="auto"/>
        <w:left w:val="none" w:sz="0" w:space="0" w:color="auto"/>
        <w:bottom w:val="none" w:sz="0" w:space="0" w:color="auto"/>
        <w:right w:val="none" w:sz="0" w:space="0" w:color="auto"/>
      </w:divBdr>
    </w:div>
    <w:div w:id="1089274201">
      <w:bodyDiv w:val="1"/>
      <w:marLeft w:val="0"/>
      <w:marRight w:val="0"/>
      <w:marTop w:val="0"/>
      <w:marBottom w:val="0"/>
      <w:divBdr>
        <w:top w:val="none" w:sz="0" w:space="0" w:color="auto"/>
        <w:left w:val="none" w:sz="0" w:space="0" w:color="auto"/>
        <w:bottom w:val="none" w:sz="0" w:space="0" w:color="auto"/>
        <w:right w:val="none" w:sz="0" w:space="0" w:color="auto"/>
      </w:divBdr>
    </w:div>
    <w:div w:id="1681006691">
      <w:bodyDiv w:val="1"/>
      <w:marLeft w:val="0"/>
      <w:marRight w:val="0"/>
      <w:marTop w:val="0"/>
      <w:marBottom w:val="0"/>
      <w:divBdr>
        <w:top w:val="none" w:sz="0" w:space="0" w:color="auto"/>
        <w:left w:val="none" w:sz="0" w:space="0" w:color="auto"/>
        <w:bottom w:val="none" w:sz="0" w:space="0" w:color="auto"/>
        <w:right w:val="none" w:sz="0" w:space="0" w:color="auto"/>
      </w:divBdr>
    </w:div>
    <w:div w:id="2045400054">
      <w:bodyDiv w:val="1"/>
      <w:marLeft w:val="0"/>
      <w:marRight w:val="0"/>
      <w:marTop w:val="0"/>
      <w:marBottom w:val="0"/>
      <w:divBdr>
        <w:top w:val="none" w:sz="0" w:space="0" w:color="auto"/>
        <w:left w:val="none" w:sz="0" w:space="0" w:color="auto"/>
        <w:bottom w:val="none" w:sz="0" w:space="0" w:color="auto"/>
        <w:right w:val="none" w:sz="0" w:space="0" w:color="auto"/>
      </w:divBdr>
      <w:divsChild>
        <w:div w:id="2144693058">
          <w:marLeft w:val="0"/>
          <w:marRight w:val="0"/>
          <w:marTop w:val="0"/>
          <w:marBottom w:val="0"/>
          <w:divBdr>
            <w:top w:val="none" w:sz="0" w:space="0" w:color="auto"/>
            <w:left w:val="none" w:sz="0" w:space="0" w:color="auto"/>
            <w:bottom w:val="none" w:sz="0" w:space="0" w:color="auto"/>
            <w:right w:val="none" w:sz="0" w:space="0" w:color="auto"/>
          </w:divBdr>
          <w:divsChild>
            <w:div w:id="328408516">
              <w:marLeft w:val="0"/>
              <w:marRight w:val="0"/>
              <w:marTop w:val="0"/>
              <w:marBottom w:val="0"/>
              <w:divBdr>
                <w:top w:val="none" w:sz="0" w:space="0" w:color="auto"/>
                <w:left w:val="none" w:sz="0" w:space="0" w:color="auto"/>
                <w:bottom w:val="none" w:sz="0" w:space="0" w:color="auto"/>
                <w:right w:val="none" w:sz="0" w:space="0" w:color="auto"/>
              </w:divBdr>
              <w:divsChild>
                <w:div w:id="1165779608">
                  <w:marLeft w:val="0"/>
                  <w:marRight w:val="0"/>
                  <w:marTop w:val="0"/>
                  <w:marBottom w:val="0"/>
                  <w:divBdr>
                    <w:top w:val="none" w:sz="0" w:space="0" w:color="auto"/>
                    <w:left w:val="none" w:sz="0" w:space="0" w:color="auto"/>
                    <w:bottom w:val="none" w:sz="0" w:space="0" w:color="auto"/>
                    <w:right w:val="none" w:sz="0" w:space="0" w:color="auto"/>
                  </w:divBdr>
                  <w:divsChild>
                    <w:div w:id="12932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E924-F690-4DE1-A062-D359D43D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5796</Words>
  <Characters>3304</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Toliūnaitė</dc:creator>
  <cp:keywords/>
  <dc:description/>
  <cp:lastModifiedBy>Ieva Ramonienė</cp:lastModifiedBy>
  <cp:revision>11</cp:revision>
  <cp:lastPrinted>2019-01-08T12:26:00Z</cp:lastPrinted>
  <dcterms:created xsi:type="dcterms:W3CDTF">2021-11-16T16:20:00Z</dcterms:created>
  <dcterms:modified xsi:type="dcterms:W3CDTF">2022-01-11T11:32:00Z</dcterms:modified>
</cp:coreProperties>
</file>