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69B" w:rsidRPr="00D97C39" w:rsidRDefault="00D2569B">
      <w:pPr>
        <w:rPr>
          <w:szCs w:val="22"/>
          <w:lang w:val="lt-LT"/>
        </w:rPr>
      </w:pPr>
    </w:p>
    <w:p w:rsidR="00D2569B" w:rsidRPr="00B34608" w:rsidRDefault="00D2569B"/>
    <w:p w:rsidR="00D2569B" w:rsidRPr="00B34608" w:rsidRDefault="00D2569B" w:rsidP="00851586">
      <w:pPr>
        <w:jc w:val="center"/>
        <w:rPr>
          <w:b/>
          <w:caps/>
          <w:sz w:val="24"/>
          <w:szCs w:val="24"/>
        </w:rPr>
      </w:pPr>
    </w:p>
    <w:p w:rsidR="00D2569B" w:rsidRPr="00B34608" w:rsidRDefault="00D2569B" w:rsidP="0095279F">
      <w:pPr>
        <w:ind w:left="-567"/>
        <w:jc w:val="center"/>
        <w:rPr>
          <w:b/>
          <w:caps/>
          <w:sz w:val="28"/>
          <w:szCs w:val="28"/>
        </w:rPr>
      </w:pPr>
    </w:p>
    <w:p w:rsidR="00D2569B" w:rsidRPr="00C04FF9" w:rsidRDefault="00D2569B" w:rsidP="0095279F">
      <w:pPr>
        <w:ind w:left="-567"/>
        <w:jc w:val="center"/>
        <w:rPr>
          <w:b/>
          <w:caps/>
          <w:sz w:val="28"/>
          <w:szCs w:val="28"/>
          <w:lang w:val="lt-LT"/>
        </w:rPr>
      </w:pPr>
    </w:p>
    <w:p w:rsidR="00251CCE" w:rsidRDefault="00D2569B" w:rsidP="0095279F">
      <w:pPr>
        <w:ind w:left="-567"/>
        <w:jc w:val="center"/>
        <w:rPr>
          <w:b/>
          <w:caps/>
          <w:sz w:val="28"/>
          <w:szCs w:val="28"/>
        </w:rPr>
      </w:pPr>
      <w:r w:rsidRPr="00B34608">
        <w:rPr>
          <w:b/>
          <w:caps/>
          <w:sz w:val="28"/>
          <w:szCs w:val="28"/>
        </w:rPr>
        <w:t xml:space="preserve">STATE COMPANY </w:t>
      </w:r>
    </w:p>
    <w:p w:rsidR="00D2569B" w:rsidRPr="00B34608" w:rsidRDefault="00131887" w:rsidP="0095279F">
      <w:pPr>
        <w:ind w:left="-567"/>
        <w:jc w:val="center"/>
        <w:rPr>
          <w:b/>
          <w:caps/>
          <w:sz w:val="28"/>
          <w:szCs w:val="28"/>
        </w:rPr>
      </w:pPr>
      <w:r w:rsidRPr="007F03F5">
        <w:rPr>
          <w:b/>
        </w:rPr>
        <w:t>„</w:t>
      </w:r>
      <w:r w:rsidR="00D2569B">
        <w:rPr>
          <w:b/>
          <w:caps/>
          <w:sz w:val="28"/>
          <w:szCs w:val="28"/>
        </w:rPr>
        <w:t>INDĖLIŲ IR INVESTIJŲ DRAUDIMAS</w:t>
      </w:r>
      <w:r>
        <w:rPr>
          <w:b/>
          <w:caps/>
          <w:sz w:val="28"/>
          <w:szCs w:val="28"/>
        </w:rPr>
        <w:t>”</w:t>
      </w:r>
    </w:p>
    <w:p w:rsidR="00D2569B" w:rsidRPr="00B34608" w:rsidRDefault="00D2569B" w:rsidP="00851586">
      <w:pPr>
        <w:jc w:val="center"/>
        <w:rPr>
          <w:b/>
          <w:caps/>
          <w:sz w:val="24"/>
          <w:szCs w:val="24"/>
        </w:rPr>
      </w:pPr>
    </w:p>
    <w:p w:rsidR="00D2569B" w:rsidRPr="00B34608" w:rsidRDefault="00D2569B" w:rsidP="00851586">
      <w:pPr>
        <w:jc w:val="center"/>
        <w:rPr>
          <w:b/>
          <w:caps/>
          <w:sz w:val="24"/>
          <w:szCs w:val="24"/>
        </w:rPr>
      </w:pPr>
    </w:p>
    <w:p w:rsidR="00D2569B" w:rsidRPr="00B34608" w:rsidRDefault="00D2569B" w:rsidP="00851586">
      <w:pPr>
        <w:jc w:val="center"/>
        <w:rPr>
          <w:b/>
          <w:caps/>
          <w:sz w:val="24"/>
          <w:szCs w:val="24"/>
        </w:rPr>
      </w:pPr>
    </w:p>
    <w:p w:rsidR="00D2569B" w:rsidRPr="00B34608" w:rsidRDefault="00D2569B" w:rsidP="00851586">
      <w:pPr>
        <w:jc w:val="center"/>
        <w:rPr>
          <w:b/>
          <w:caps/>
          <w:sz w:val="24"/>
          <w:szCs w:val="24"/>
        </w:rPr>
      </w:pPr>
    </w:p>
    <w:p w:rsidR="00D2569B" w:rsidRPr="00B34608" w:rsidRDefault="00D2569B" w:rsidP="00851586">
      <w:pPr>
        <w:jc w:val="center"/>
        <w:rPr>
          <w:b/>
          <w:caps/>
          <w:sz w:val="24"/>
          <w:szCs w:val="24"/>
        </w:rPr>
      </w:pPr>
    </w:p>
    <w:tbl>
      <w:tblPr>
        <w:tblpPr w:leftFromText="180" w:rightFromText="180" w:vertAnchor="page" w:horzAnchor="margin" w:tblpXSpec="center" w:tblpY="3745"/>
        <w:tblW w:w="7938" w:type="dxa"/>
        <w:tblLayout w:type="fixed"/>
        <w:tblCellMar>
          <w:left w:w="0" w:type="dxa"/>
          <w:right w:w="0" w:type="dxa"/>
        </w:tblCellMar>
        <w:tblLook w:val="0000" w:firstRow="0" w:lastRow="0" w:firstColumn="0" w:lastColumn="0" w:noHBand="0" w:noVBand="0"/>
      </w:tblPr>
      <w:tblGrid>
        <w:gridCol w:w="7938"/>
      </w:tblGrid>
      <w:tr w:rsidR="00D2569B" w:rsidRPr="00B34608" w:rsidTr="0095279F">
        <w:trPr>
          <w:cantSplit/>
        </w:trPr>
        <w:tc>
          <w:tcPr>
            <w:tcW w:w="7938" w:type="dxa"/>
          </w:tcPr>
          <w:p w:rsidR="00D2569B" w:rsidRPr="00B34608" w:rsidRDefault="00D2569B" w:rsidP="00B973BD">
            <w:pPr>
              <w:tabs>
                <w:tab w:val="left" w:pos="-1440"/>
                <w:tab w:val="left" w:pos="-720"/>
                <w:tab w:val="left" w:pos="567"/>
                <w:tab w:val="left" w:pos="1095"/>
                <w:tab w:val="left" w:pos="2419"/>
                <w:tab w:val="center" w:pos="3969"/>
              </w:tabs>
              <w:suppressAutoHyphens/>
              <w:spacing w:line="360" w:lineRule="auto"/>
              <w:jc w:val="center"/>
              <w:rPr>
                <w:b/>
                <w:caps/>
                <w:sz w:val="32"/>
                <w:szCs w:val="32"/>
              </w:rPr>
            </w:pPr>
            <w:bookmarkStart w:id="0" w:name="CompanyName1" w:colFirst="0" w:colLast="0"/>
          </w:p>
          <w:p w:rsidR="00D2569B" w:rsidRPr="00B34608" w:rsidRDefault="00D2569B" w:rsidP="00B973BD">
            <w:pPr>
              <w:tabs>
                <w:tab w:val="left" w:pos="-1440"/>
                <w:tab w:val="left" w:pos="-720"/>
                <w:tab w:val="left" w:pos="567"/>
                <w:tab w:val="left" w:pos="1095"/>
                <w:tab w:val="left" w:pos="2419"/>
                <w:tab w:val="center" w:pos="3969"/>
              </w:tabs>
              <w:suppressAutoHyphens/>
              <w:spacing w:line="360" w:lineRule="auto"/>
              <w:jc w:val="center"/>
              <w:rPr>
                <w:b/>
                <w:caps/>
                <w:sz w:val="32"/>
                <w:szCs w:val="32"/>
              </w:rPr>
            </w:pPr>
          </w:p>
          <w:p w:rsidR="00D2569B" w:rsidRPr="00B34608" w:rsidRDefault="00D2569B" w:rsidP="00967B6E">
            <w:pPr>
              <w:tabs>
                <w:tab w:val="left" w:pos="-1440"/>
                <w:tab w:val="left" w:pos="-720"/>
                <w:tab w:val="left" w:pos="567"/>
                <w:tab w:val="left" w:pos="1095"/>
                <w:tab w:val="left" w:pos="2419"/>
                <w:tab w:val="center" w:pos="3969"/>
              </w:tabs>
              <w:suppressAutoHyphens/>
              <w:spacing w:line="360" w:lineRule="auto"/>
              <w:rPr>
                <w:b/>
                <w:caps/>
                <w:sz w:val="32"/>
                <w:szCs w:val="32"/>
              </w:rPr>
            </w:pPr>
            <w:r>
              <w:rPr>
                <w:b/>
                <w:caps/>
                <w:sz w:val="32"/>
                <w:szCs w:val="32"/>
              </w:rPr>
              <w:t xml:space="preserve">                    DEPOSIT INSURANCE FUND</w:t>
            </w:r>
          </w:p>
        </w:tc>
      </w:tr>
      <w:tr w:rsidR="00D2569B" w:rsidRPr="00B34608" w:rsidTr="0095279F">
        <w:trPr>
          <w:cantSplit/>
        </w:trPr>
        <w:tc>
          <w:tcPr>
            <w:tcW w:w="7938" w:type="dxa"/>
          </w:tcPr>
          <w:p w:rsidR="00D2569B" w:rsidRPr="00B34608" w:rsidRDefault="00D2569B" w:rsidP="0095279F">
            <w:pPr>
              <w:tabs>
                <w:tab w:val="left" w:pos="-1440"/>
                <w:tab w:val="left" w:pos="-720"/>
                <w:tab w:val="left" w:pos="567"/>
                <w:tab w:val="left" w:pos="2419"/>
              </w:tabs>
              <w:suppressAutoHyphens/>
              <w:spacing w:line="360" w:lineRule="auto"/>
              <w:jc w:val="center"/>
              <w:rPr>
                <w:caps/>
                <w:sz w:val="32"/>
                <w:szCs w:val="32"/>
              </w:rPr>
            </w:pPr>
          </w:p>
        </w:tc>
      </w:tr>
      <w:tr w:rsidR="00D2569B" w:rsidRPr="00B34608" w:rsidTr="0095279F">
        <w:trPr>
          <w:cantSplit/>
        </w:trPr>
        <w:tc>
          <w:tcPr>
            <w:tcW w:w="7938" w:type="dxa"/>
          </w:tcPr>
          <w:p w:rsidR="00D2569B" w:rsidRPr="00B34608" w:rsidRDefault="00D2569B" w:rsidP="004B39D2">
            <w:pPr>
              <w:tabs>
                <w:tab w:val="left" w:pos="-1440"/>
                <w:tab w:val="left" w:pos="-720"/>
                <w:tab w:val="left" w:pos="567"/>
                <w:tab w:val="left" w:pos="2419"/>
              </w:tabs>
              <w:suppressAutoHyphens/>
              <w:spacing w:line="360" w:lineRule="auto"/>
              <w:jc w:val="center"/>
              <w:rPr>
                <w:b/>
                <w:caps/>
                <w:sz w:val="32"/>
                <w:szCs w:val="32"/>
              </w:rPr>
            </w:pPr>
            <w:bookmarkStart w:id="1" w:name="ReportName1" w:colFirst="0" w:colLast="0"/>
            <w:bookmarkEnd w:id="0"/>
            <w:r>
              <w:rPr>
                <w:b/>
                <w:caps/>
                <w:sz w:val="32"/>
                <w:szCs w:val="32"/>
              </w:rPr>
              <w:t>ANNUAL FINANCIAL STATEMENTS</w:t>
            </w:r>
          </w:p>
          <w:p w:rsidR="00D2569B" w:rsidRPr="00B34608" w:rsidRDefault="00D2569B" w:rsidP="00B242E8">
            <w:pPr>
              <w:tabs>
                <w:tab w:val="left" w:pos="-1440"/>
                <w:tab w:val="left" w:pos="-720"/>
                <w:tab w:val="left" w:pos="567"/>
                <w:tab w:val="left" w:pos="2419"/>
              </w:tabs>
              <w:suppressAutoHyphens/>
              <w:spacing w:line="360" w:lineRule="auto"/>
              <w:jc w:val="center"/>
              <w:rPr>
                <w:b/>
                <w:caps/>
                <w:sz w:val="32"/>
                <w:szCs w:val="32"/>
              </w:rPr>
            </w:pPr>
            <w:bookmarkStart w:id="2" w:name="_GoBack"/>
            <w:bookmarkEnd w:id="2"/>
          </w:p>
        </w:tc>
      </w:tr>
      <w:tr w:rsidR="00D2569B" w:rsidRPr="00B34608" w:rsidTr="0095279F">
        <w:trPr>
          <w:cantSplit/>
        </w:trPr>
        <w:tc>
          <w:tcPr>
            <w:tcW w:w="7938" w:type="dxa"/>
          </w:tcPr>
          <w:p w:rsidR="00D2569B" w:rsidRPr="00B34608" w:rsidRDefault="00D2569B" w:rsidP="00B34608">
            <w:pPr>
              <w:tabs>
                <w:tab w:val="left" w:pos="-1440"/>
                <w:tab w:val="left" w:pos="-720"/>
                <w:tab w:val="left" w:pos="567"/>
                <w:tab w:val="left" w:pos="2419"/>
              </w:tabs>
              <w:suppressAutoHyphens/>
              <w:spacing w:line="360" w:lineRule="auto"/>
              <w:jc w:val="center"/>
              <w:rPr>
                <w:b/>
                <w:caps/>
                <w:sz w:val="32"/>
                <w:szCs w:val="32"/>
              </w:rPr>
            </w:pPr>
            <w:bookmarkStart w:id="3" w:name="Subtitle" w:colFirst="0" w:colLast="0"/>
            <w:bookmarkEnd w:id="1"/>
            <w:r w:rsidRPr="00B34608">
              <w:rPr>
                <w:b/>
                <w:caps/>
                <w:sz w:val="32"/>
                <w:szCs w:val="32"/>
              </w:rPr>
              <w:t>2017</w:t>
            </w:r>
          </w:p>
        </w:tc>
      </w:tr>
      <w:bookmarkEnd w:id="3"/>
    </w:tbl>
    <w:p w:rsidR="00D2569B" w:rsidRPr="00B34608" w:rsidRDefault="00D2569B" w:rsidP="00851586">
      <w:pPr>
        <w:jc w:val="center"/>
        <w:rPr>
          <w:b/>
          <w:caps/>
          <w:sz w:val="24"/>
          <w:szCs w:val="24"/>
        </w:rPr>
      </w:pPr>
    </w:p>
    <w:p w:rsidR="00D2569B" w:rsidRPr="00B34608" w:rsidRDefault="00D2569B" w:rsidP="00851586">
      <w:pPr>
        <w:jc w:val="center"/>
        <w:rPr>
          <w:b/>
          <w:caps/>
          <w:sz w:val="24"/>
          <w:szCs w:val="24"/>
        </w:rPr>
      </w:pPr>
    </w:p>
    <w:p w:rsidR="00D2569B" w:rsidRPr="00B34608" w:rsidRDefault="00D2569B" w:rsidP="00851586">
      <w:pPr>
        <w:jc w:val="center"/>
        <w:rPr>
          <w:b/>
          <w:caps/>
          <w:sz w:val="24"/>
          <w:szCs w:val="24"/>
        </w:rPr>
      </w:pPr>
    </w:p>
    <w:p w:rsidR="00D2569B" w:rsidRPr="00B34608" w:rsidRDefault="00D2569B" w:rsidP="003E703C">
      <w:pPr>
        <w:ind w:left="-851"/>
        <w:jc w:val="center"/>
        <w:rPr>
          <w:b/>
          <w:caps/>
          <w:sz w:val="24"/>
          <w:szCs w:val="24"/>
        </w:rPr>
      </w:pPr>
    </w:p>
    <w:p w:rsidR="00D2569B" w:rsidRPr="00B34608" w:rsidRDefault="00D2569B" w:rsidP="00DB39EB">
      <w:pPr>
        <w:rPr>
          <w:b/>
          <w:caps/>
          <w:sz w:val="24"/>
          <w:szCs w:val="24"/>
        </w:rPr>
      </w:pPr>
    </w:p>
    <w:p w:rsidR="00D2569B" w:rsidRPr="00B34608" w:rsidRDefault="00D2569B" w:rsidP="00851586">
      <w:pPr>
        <w:jc w:val="center"/>
        <w:rPr>
          <w:b/>
          <w:caps/>
          <w:sz w:val="24"/>
          <w:szCs w:val="24"/>
        </w:rPr>
      </w:pPr>
    </w:p>
    <w:p w:rsidR="00D2569B" w:rsidRPr="00B34608" w:rsidRDefault="00D2569B">
      <w:r w:rsidRPr="00B34608">
        <w:rPr>
          <w:b/>
        </w:rPr>
        <w:br w:type="page"/>
      </w:r>
    </w:p>
    <w:p w:rsidR="00D2569B" w:rsidRPr="00B34608" w:rsidRDefault="00D2569B" w:rsidP="00AC73BD">
      <w:pPr>
        <w:pStyle w:val="zcontents"/>
        <w:tabs>
          <w:tab w:val="left" w:pos="1981"/>
        </w:tabs>
        <w:jc w:val="center"/>
        <w:rPr>
          <w:sz w:val="22"/>
          <w:szCs w:val="22"/>
        </w:rPr>
      </w:pPr>
      <w:r>
        <w:rPr>
          <w:sz w:val="22"/>
          <w:szCs w:val="22"/>
        </w:rPr>
        <w:t>CONTENT</w:t>
      </w:r>
    </w:p>
    <w:tbl>
      <w:tblPr>
        <w:tblW w:w="9038" w:type="dxa"/>
        <w:tblLook w:val="00A0" w:firstRow="1" w:lastRow="0" w:firstColumn="1" w:lastColumn="0" w:noHBand="0" w:noVBand="0"/>
      </w:tblPr>
      <w:tblGrid>
        <w:gridCol w:w="7479"/>
        <w:gridCol w:w="1559"/>
      </w:tblGrid>
      <w:tr w:rsidR="00D2569B" w:rsidRPr="00B34608" w:rsidTr="00FE4ABE">
        <w:tc>
          <w:tcPr>
            <w:tcW w:w="7479" w:type="dxa"/>
            <w:vAlign w:val="bottom"/>
          </w:tcPr>
          <w:p w:rsidR="00D2569B" w:rsidRPr="00B34608" w:rsidRDefault="00D2569B" w:rsidP="00FE4ABE">
            <w:pPr>
              <w:pStyle w:val="zcontents"/>
              <w:tabs>
                <w:tab w:val="left" w:pos="1981"/>
              </w:tabs>
              <w:rPr>
                <w:sz w:val="22"/>
                <w:szCs w:val="22"/>
              </w:rPr>
            </w:pPr>
            <w:r w:rsidRPr="00B34608">
              <w:rPr>
                <w:b w:val="0"/>
                <w:sz w:val="22"/>
                <w:szCs w:val="22"/>
              </w:rPr>
              <w:t>Informa</w:t>
            </w:r>
            <w:r>
              <w:rPr>
                <w:b w:val="0"/>
                <w:sz w:val="22"/>
                <w:szCs w:val="22"/>
              </w:rPr>
              <w:t>tion about the administrating entity (</w:t>
            </w:r>
            <w:proofErr w:type="gramStart"/>
            <w:r>
              <w:rPr>
                <w:b w:val="0"/>
                <w:sz w:val="22"/>
                <w:szCs w:val="22"/>
              </w:rPr>
              <w:t>Company)</w:t>
            </w:r>
            <w:r w:rsidRPr="00B34608">
              <w:rPr>
                <w:b w:val="0"/>
                <w:sz w:val="22"/>
                <w:szCs w:val="22"/>
              </w:rPr>
              <w:t xml:space="preserve">   </w:t>
            </w:r>
            <w:proofErr w:type="gramEnd"/>
            <w:r w:rsidRPr="00B34608">
              <w:rPr>
                <w:b w:val="0"/>
                <w:sz w:val="22"/>
                <w:szCs w:val="22"/>
              </w:rPr>
              <w:t xml:space="preserve">                                                        </w:t>
            </w:r>
          </w:p>
        </w:tc>
        <w:tc>
          <w:tcPr>
            <w:tcW w:w="1559" w:type="dxa"/>
            <w:vAlign w:val="bottom"/>
          </w:tcPr>
          <w:p w:rsidR="00D2569B" w:rsidRPr="00B34608" w:rsidRDefault="00D2569B" w:rsidP="00FE4ABE">
            <w:pPr>
              <w:pStyle w:val="Antrat1"/>
              <w:spacing w:line="480" w:lineRule="auto"/>
              <w:jc w:val="both"/>
              <w:rPr>
                <w:b w:val="0"/>
                <w:sz w:val="22"/>
                <w:szCs w:val="22"/>
              </w:rPr>
            </w:pPr>
            <w:r w:rsidRPr="00B34608">
              <w:rPr>
                <w:b w:val="0"/>
                <w:sz w:val="22"/>
                <w:szCs w:val="22"/>
              </w:rPr>
              <w:t>3</w:t>
            </w:r>
          </w:p>
        </w:tc>
      </w:tr>
      <w:tr w:rsidR="00D2569B" w:rsidRPr="00B34608" w:rsidTr="00FE4ABE">
        <w:tc>
          <w:tcPr>
            <w:tcW w:w="7479" w:type="dxa"/>
          </w:tcPr>
          <w:p w:rsidR="00D2569B" w:rsidRPr="00B34608" w:rsidRDefault="00D2569B" w:rsidP="00FE4ABE">
            <w:pPr>
              <w:pStyle w:val="zcontents"/>
              <w:tabs>
                <w:tab w:val="left" w:pos="1981"/>
              </w:tabs>
              <w:rPr>
                <w:sz w:val="22"/>
                <w:szCs w:val="22"/>
              </w:rPr>
            </w:pPr>
            <w:r>
              <w:rPr>
                <w:b w:val="0"/>
                <w:sz w:val="22"/>
                <w:szCs w:val="22"/>
              </w:rPr>
              <w:t>Statement of financial position of the Deposit Insurance Fund</w:t>
            </w:r>
            <w:r w:rsidRPr="00B34608">
              <w:rPr>
                <w:b w:val="0"/>
                <w:sz w:val="22"/>
                <w:szCs w:val="22"/>
              </w:rPr>
              <w:t xml:space="preserve"> </w:t>
            </w:r>
          </w:p>
        </w:tc>
        <w:tc>
          <w:tcPr>
            <w:tcW w:w="1559" w:type="dxa"/>
          </w:tcPr>
          <w:p w:rsidR="00D2569B" w:rsidRPr="00B34608" w:rsidRDefault="00D2569B" w:rsidP="00FE4ABE">
            <w:pPr>
              <w:pStyle w:val="zcontents"/>
              <w:tabs>
                <w:tab w:val="left" w:pos="1981"/>
              </w:tabs>
              <w:spacing w:line="360" w:lineRule="auto"/>
              <w:rPr>
                <w:b w:val="0"/>
                <w:sz w:val="22"/>
                <w:szCs w:val="22"/>
              </w:rPr>
            </w:pPr>
            <w:r w:rsidRPr="00B34608">
              <w:rPr>
                <w:b w:val="0"/>
                <w:sz w:val="22"/>
                <w:szCs w:val="22"/>
              </w:rPr>
              <w:t>4</w:t>
            </w:r>
          </w:p>
        </w:tc>
      </w:tr>
      <w:tr w:rsidR="00D2569B" w:rsidRPr="00B34608" w:rsidTr="00FE4ABE">
        <w:tc>
          <w:tcPr>
            <w:tcW w:w="7479" w:type="dxa"/>
          </w:tcPr>
          <w:p w:rsidR="00D2569B" w:rsidRPr="00B34608" w:rsidRDefault="00D2569B" w:rsidP="00FE4ABE">
            <w:pPr>
              <w:pStyle w:val="zcontents"/>
              <w:tabs>
                <w:tab w:val="left" w:pos="1981"/>
              </w:tabs>
              <w:rPr>
                <w:sz w:val="22"/>
                <w:szCs w:val="22"/>
              </w:rPr>
            </w:pPr>
            <w:r>
              <w:rPr>
                <w:b w:val="0"/>
                <w:sz w:val="22"/>
                <w:szCs w:val="22"/>
              </w:rPr>
              <w:t>Statement of operating results of the Deposit Insurance Fund</w:t>
            </w:r>
            <w:r w:rsidRPr="00B34608">
              <w:rPr>
                <w:b w:val="0"/>
                <w:sz w:val="22"/>
                <w:szCs w:val="22"/>
              </w:rPr>
              <w:t xml:space="preserve"> </w:t>
            </w:r>
          </w:p>
        </w:tc>
        <w:tc>
          <w:tcPr>
            <w:tcW w:w="1559" w:type="dxa"/>
          </w:tcPr>
          <w:p w:rsidR="00D2569B" w:rsidRPr="00B34608" w:rsidRDefault="00D2569B" w:rsidP="00FE4ABE">
            <w:pPr>
              <w:pStyle w:val="zcontents"/>
              <w:tabs>
                <w:tab w:val="left" w:pos="1981"/>
              </w:tabs>
              <w:spacing w:line="360" w:lineRule="auto"/>
              <w:rPr>
                <w:b w:val="0"/>
                <w:sz w:val="22"/>
                <w:szCs w:val="22"/>
              </w:rPr>
            </w:pPr>
            <w:r w:rsidRPr="00B34608">
              <w:rPr>
                <w:b w:val="0"/>
                <w:sz w:val="22"/>
                <w:szCs w:val="22"/>
              </w:rPr>
              <w:t>6</w:t>
            </w:r>
          </w:p>
        </w:tc>
      </w:tr>
      <w:tr w:rsidR="00D2569B" w:rsidRPr="00B34608" w:rsidTr="00FE4ABE">
        <w:tc>
          <w:tcPr>
            <w:tcW w:w="7479" w:type="dxa"/>
          </w:tcPr>
          <w:p w:rsidR="00D2569B" w:rsidRPr="00B34608" w:rsidRDefault="00D2569B" w:rsidP="00FE4ABE">
            <w:pPr>
              <w:pStyle w:val="zcontents"/>
              <w:tabs>
                <w:tab w:val="left" w:pos="1981"/>
              </w:tabs>
              <w:rPr>
                <w:sz w:val="22"/>
                <w:szCs w:val="22"/>
              </w:rPr>
            </w:pPr>
            <w:r>
              <w:rPr>
                <w:b w:val="0"/>
                <w:sz w:val="22"/>
                <w:szCs w:val="22"/>
              </w:rPr>
              <w:t>Statement of changes in net assets of the Deposit Insurance Fund</w:t>
            </w:r>
            <w:r w:rsidRPr="00B34608">
              <w:rPr>
                <w:b w:val="0"/>
                <w:sz w:val="22"/>
                <w:szCs w:val="22"/>
              </w:rPr>
              <w:t xml:space="preserve"> </w:t>
            </w:r>
          </w:p>
        </w:tc>
        <w:tc>
          <w:tcPr>
            <w:tcW w:w="1559" w:type="dxa"/>
          </w:tcPr>
          <w:p w:rsidR="00D2569B" w:rsidRPr="00B34608" w:rsidRDefault="00D2569B" w:rsidP="00FE4ABE">
            <w:pPr>
              <w:pStyle w:val="zcontents"/>
              <w:tabs>
                <w:tab w:val="left" w:pos="1981"/>
              </w:tabs>
              <w:spacing w:line="360" w:lineRule="auto"/>
              <w:rPr>
                <w:b w:val="0"/>
                <w:sz w:val="22"/>
                <w:szCs w:val="22"/>
              </w:rPr>
            </w:pPr>
            <w:r w:rsidRPr="00B34608">
              <w:rPr>
                <w:b w:val="0"/>
                <w:sz w:val="22"/>
                <w:szCs w:val="22"/>
              </w:rPr>
              <w:t>7</w:t>
            </w:r>
          </w:p>
        </w:tc>
      </w:tr>
      <w:tr w:rsidR="00D2569B" w:rsidRPr="00B34608" w:rsidTr="00FE4ABE">
        <w:tc>
          <w:tcPr>
            <w:tcW w:w="7479" w:type="dxa"/>
          </w:tcPr>
          <w:p w:rsidR="00D2569B" w:rsidRPr="00B34608" w:rsidRDefault="00D2569B" w:rsidP="00FE4ABE">
            <w:pPr>
              <w:pStyle w:val="zcontents"/>
              <w:tabs>
                <w:tab w:val="left" w:pos="1981"/>
              </w:tabs>
              <w:rPr>
                <w:sz w:val="22"/>
                <w:szCs w:val="22"/>
              </w:rPr>
            </w:pPr>
            <w:r>
              <w:rPr>
                <w:b w:val="0"/>
                <w:sz w:val="22"/>
                <w:szCs w:val="22"/>
              </w:rPr>
              <w:t>Cash flow statement of the Deposit Insurance Fund</w:t>
            </w:r>
            <w:r w:rsidRPr="00B34608">
              <w:rPr>
                <w:b w:val="0"/>
                <w:sz w:val="22"/>
                <w:szCs w:val="22"/>
              </w:rPr>
              <w:t xml:space="preserve"> </w:t>
            </w:r>
          </w:p>
        </w:tc>
        <w:tc>
          <w:tcPr>
            <w:tcW w:w="1559" w:type="dxa"/>
          </w:tcPr>
          <w:p w:rsidR="00D2569B" w:rsidRPr="00B34608" w:rsidRDefault="00D2569B" w:rsidP="00FE4ABE">
            <w:pPr>
              <w:pStyle w:val="zcontents"/>
              <w:tabs>
                <w:tab w:val="left" w:pos="1981"/>
              </w:tabs>
              <w:spacing w:line="360" w:lineRule="auto"/>
              <w:rPr>
                <w:b w:val="0"/>
                <w:sz w:val="22"/>
                <w:szCs w:val="22"/>
              </w:rPr>
            </w:pPr>
            <w:r w:rsidRPr="00B34608">
              <w:rPr>
                <w:b w:val="0"/>
                <w:sz w:val="22"/>
                <w:szCs w:val="22"/>
              </w:rPr>
              <w:t>8</w:t>
            </w:r>
          </w:p>
        </w:tc>
      </w:tr>
      <w:tr w:rsidR="00D2569B" w:rsidRPr="00B34608" w:rsidTr="00FE4ABE">
        <w:tc>
          <w:tcPr>
            <w:tcW w:w="7479" w:type="dxa"/>
          </w:tcPr>
          <w:p w:rsidR="00D2569B" w:rsidRPr="00B34608" w:rsidRDefault="00D2569B" w:rsidP="00FE4ABE">
            <w:pPr>
              <w:pStyle w:val="zcontents"/>
              <w:tabs>
                <w:tab w:val="left" w:pos="1981"/>
              </w:tabs>
              <w:rPr>
                <w:sz w:val="22"/>
                <w:szCs w:val="22"/>
              </w:rPr>
            </w:pPr>
            <w:r>
              <w:rPr>
                <w:b w:val="0"/>
                <w:sz w:val="22"/>
                <w:szCs w:val="22"/>
              </w:rPr>
              <w:t>Explanatory notes</w:t>
            </w:r>
            <w:r w:rsidRPr="00B34608">
              <w:rPr>
                <w:b w:val="0"/>
                <w:sz w:val="22"/>
                <w:szCs w:val="22"/>
              </w:rPr>
              <w:t xml:space="preserve">                                                                                                         </w:t>
            </w:r>
          </w:p>
        </w:tc>
        <w:tc>
          <w:tcPr>
            <w:tcW w:w="1559" w:type="dxa"/>
          </w:tcPr>
          <w:p w:rsidR="00D2569B" w:rsidRPr="00B34608" w:rsidRDefault="00D2569B" w:rsidP="00FE4ABE">
            <w:pPr>
              <w:pStyle w:val="zcontents"/>
              <w:tabs>
                <w:tab w:val="left" w:pos="1981"/>
              </w:tabs>
              <w:spacing w:line="360" w:lineRule="auto"/>
              <w:jc w:val="both"/>
              <w:rPr>
                <w:b w:val="0"/>
                <w:sz w:val="22"/>
                <w:szCs w:val="22"/>
              </w:rPr>
            </w:pPr>
            <w:r w:rsidRPr="00B34608">
              <w:rPr>
                <w:b w:val="0"/>
                <w:sz w:val="22"/>
                <w:szCs w:val="22"/>
              </w:rPr>
              <w:t>9</w:t>
            </w:r>
          </w:p>
        </w:tc>
      </w:tr>
      <w:tr w:rsidR="00D2569B" w:rsidRPr="00B34608" w:rsidTr="00FE4ABE">
        <w:tc>
          <w:tcPr>
            <w:tcW w:w="7479" w:type="dxa"/>
          </w:tcPr>
          <w:p w:rsidR="00D2569B" w:rsidRPr="00B34608" w:rsidRDefault="00D2569B" w:rsidP="00FE4ABE">
            <w:pPr>
              <w:pStyle w:val="zcontents"/>
              <w:tabs>
                <w:tab w:val="left" w:pos="1981"/>
              </w:tabs>
              <w:rPr>
                <w:sz w:val="24"/>
                <w:szCs w:val="24"/>
              </w:rPr>
            </w:pPr>
          </w:p>
        </w:tc>
        <w:tc>
          <w:tcPr>
            <w:tcW w:w="1559" w:type="dxa"/>
          </w:tcPr>
          <w:p w:rsidR="00D2569B" w:rsidRPr="00B34608" w:rsidRDefault="00D2569B" w:rsidP="00FE4ABE">
            <w:pPr>
              <w:pStyle w:val="zcontents"/>
              <w:tabs>
                <w:tab w:val="left" w:pos="1981"/>
              </w:tabs>
              <w:rPr>
                <w:sz w:val="24"/>
                <w:szCs w:val="24"/>
              </w:rPr>
            </w:pPr>
          </w:p>
        </w:tc>
      </w:tr>
      <w:tr w:rsidR="00D2569B" w:rsidRPr="00B34608" w:rsidTr="00FE4ABE">
        <w:tc>
          <w:tcPr>
            <w:tcW w:w="7479" w:type="dxa"/>
          </w:tcPr>
          <w:p w:rsidR="00D2569B" w:rsidRPr="00B34608" w:rsidRDefault="00D2569B" w:rsidP="00FE4ABE">
            <w:pPr>
              <w:pStyle w:val="zcontents"/>
              <w:tabs>
                <w:tab w:val="left" w:pos="1981"/>
              </w:tabs>
              <w:rPr>
                <w:sz w:val="24"/>
                <w:szCs w:val="24"/>
              </w:rPr>
            </w:pPr>
          </w:p>
        </w:tc>
        <w:tc>
          <w:tcPr>
            <w:tcW w:w="1559" w:type="dxa"/>
          </w:tcPr>
          <w:p w:rsidR="00D2569B" w:rsidRPr="00B34608" w:rsidRDefault="00D2569B" w:rsidP="00FE4ABE">
            <w:pPr>
              <w:pStyle w:val="zcontents"/>
              <w:tabs>
                <w:tab w:val="left" w:pos="1981"/>
              </w:tabs>
              <w:rPr>
                <w:sz w:val="24"/>
                <w:szCs w:val="24"/>
              </w:rPr>
            </w:pPr>
          </w:p>
        </w:tc>
      </w:tr>
    </w:tbl>
    <w:p w:rsidR="00D2569B" w:rsidRPr="00B34608" w:rsidRDefault="00D2569B" w:rsidP="0044326B">
      <w:pPr>
        <w:pStyle w:val="zcontents"/>
        <w:tabs>
          <w:tab w:val="left" w:pos="1981"/>
        </w:tabs>
        <w:rPr>
          <w:sz w:val="24"/>
          <w:szCs w:val="24"/>
        </w:rPr>
      </w:pPr>
    </w:p>
    <w:p w:rsidR="00D2569B" w:rsidRPr="00B34608" w:rsidRDefault="00D2569B" w:rsidP="00295C7D">
      <w:pPr>
        <w:pStyle w:val="zcontents"/>
        <w:tabs>
          <w:tab w:val="left" w:pos="1981"/>
        </w:tabs>
        <w:jc w:val="both"/>
        <w:rPr>
          <w:sz w:val="22"/>
          <w:szCs w:val="22"/>
        </w:rPr>
      </w:pPr>
    </w:p>
    <w:p w:rsidR="00D2569B" w:rsidRPr="00B34608" w:rsidRDefault="00D2569B" w:rsidP="00CA7A69">
      <w:pPr>
        <w:pStyle w:val="zcontents"/>
        <w:tabs>
          <w:tab w:val="left" w:pos="1981"/>
        </w:tabs>
        <w:rPr>
          <w:b w:val="0"/>
          <w:sz w:val="28"/>
          <w:szCs w:val="28"/>
        </w:rPr>
        <w:sectPr w:rsidR="00D2569B" w:rsidRPr="00B34608" w:rsidSect="008A5B05">
          <w:headerReference w:type="default" r:id="rId7"/>
          <w:footerReference w:type="even" r:id="rId8"/>
          <w:footerReference w:type="default" r:id="rId9"/>
          <w:headerReference w:type="first" r:id="rId10"/>
          <w:pgSz w:w="11907" w:h="16840" w:code="9"/>
          <w:pgMar w:top="1134" w:right="567" w:bottom="1134" w:left="1701" w:header="1077" w:footer="709" w:gutter="454"/>
          <w:pgNumType w:start="1" w:chapStyle="1"/>
          <w:cols w:space="737"/>
          <w:titlePg/>
          <w:docGrid w:linePitch="299"/>
        </w:sectPr>
      </w:pPr>
      <w:r w:rsidRPr="00B34608">
        <w:rPr>
          <w:b w:val="0"/>
          <w:sz w:val="28"/>
          <w:szCs w:val="28"/>
        </w:rPr>
        <w:t xml:space="preserve">              </w:t>
      </w:r>
    </w:p>
    <w:p w:rsidR="00D2569B" w:rsidRPr="00B34608" w:rsidRDefault="00D2569B" w:rsidP="00FE481D">
      <w:pPr>
        <w:tabs>
          <w:tab w:val="left" w:pos="567"/>
        </w:tabs>
        <w:spacing w:after="200"/>
        <w:rPr>
          <w:b/>
          <w:szCs w:val="22"/>
        </w:rPr>
      </w:pPr>
      <w:bookmarkStart w:id="4" w:name="Text"/>
      <w:bookmarkEnd w:id="4"/>
    </w:p>
    <w:p w:rsidR="00D2569B" w:rsidRPr="00B34608" w:rsidRDefault="00D2569B" w:rsidP="00FE481D">
      <w:pPr>
        <w:tabs>
          <w:tab w:val="left" w:pos="567"/>
        </w:tabs>
        <w:spacing w:after="200"/>
        <w:rPr>
          <w:b/>
          <w:szCs w:val="22"/>
        </w:rPr>
      </w:pPr>
    </w:p>
    <w:p w:rsidR="00D2569B" w:rsidRPr="00B34608" w:rsidRDefault="00D2569B" w:rsidP="00FE481D">
      <w:pPr>
        <w:tabs>
          <w:tab w:val="left" w:pos="567"/>
        </w:tabs>
        <w:spacing w:after="200"/>
        <w:rPr>
          <w:b/>
          <w:szCs w:val="22"/>
        </w:rPr>
      </w:pPr>
      <w:r>
        <w:rPr>
          <w:b/>
          <w:szCs w:val="22"/>
        </w:rPr>
        <w:t xml:space="preserve">MAIN DETAILS OF THE COMPANY ADMINISTRATING THE DEPOSIT INSURANCE FUND </w:t>
      </w:r>
    </w:p>
    <w:p w:rsidR="00D2569B" w:rsidRPr="00B34608" w:rsidRDefault="00D2569B" w:rsidP="00FE481D">
      <w:pPr>
        <w:tabs>
          <w:tab w:val="left" w:pos="567"/>
        </w:tabs>
        <w:spacing w:after="200"/>
        <w:rPr>
          <w:b/>
          <w:szCs w:val="22"/>
        </w:rPr>
      </w:pPr>
    </w:p>
    <w:tbl>
      <w:tblPr>
        <w:tblW w:w="0" w:type="auto"/>
        <w:tblLook w:val="00A0" w:firstRow="1" w:lastRow="0" w:firstColumn="1" w:lastColumn="0" w:noHBand="0" w:noVBand="0"/>
      </w:tblPr>
      <w:tblGrid>
        <w:gridCol w:w="3794"/>
        <w:gridCol w:w="4417"/>
      </w:tblGrid>
      <w:tr w:rsidR="00D2569B" w:rsidRPr="00B34608" w:rsidTr="00FE4ABE">
        <w:trPr>
          <w:trHeight w:val="170"/>
        </w:trPr>
        <w:tc>
          <w:tcPr>
            <w:tcW w:w="3794" w:type="dxa"/>
          </w:tcPr>
          <w:p w:rsidR="00D2569B" w:rsidRPr="00B34608" w:rsidRDefault="00D2569B" w:rsidP="00FE4ABE">
            <w:pPr>
              <w:pStyle w:val="Antrat1"/>
              <w:spacing w:before="0" w:line="360" w:lineRule="auto"/>
              <w:rPr>
                <w:b w:val="0"/>
                <w:sz w:val="22"/>
                <w:szCs w:val="22"/>
              </w:rPr>
            </w:pPr>
            <w:r>
              <w:rPr>
                <w:b w:val="0"/>
                <w:bCs/>
                <w:sz w:val="22"/>
                <w:szCs w:val="22"/>
              </w:rPr>
              <w:t>Company name</w:t>
            </w:r>
            <w:r w:rsidRPr="00B34608">
              <w:rPr>
                <w:b w:val="0"/>
                <w:bCs/>
                <w:sz w:val="22"/>
                <w:szCs w:val="22"/>
              </w:rPr>
              <w:t>:</w:t>
            </w:r>
          </w:p>
        </w:tc>
        <w:tc>
          <w:tcPr>
            <w:tcW w:w="4417" w:type="dxa"/>
          </w:tcPr>
          <w:p w:rsidR="00D2569B" w:rsidRPr="00B34608" w:rsidRDefault="00D2569B" w:rsidP="00FE4ABE">
            <w:pPr>
              <w:pStyle w:val="Antrat1"/>
              <w:spacing w:before="0" w:line="360" w:lineRule="auto"/>
              <w:rPr>
                <w:b w:val="0"/>
                <w:sz w:val="22"/>
                <w:szCs w:val="22"/>
              </w:rPr>
            </w:pPr>
            <w:r>
              <w:rPr>
                <w:b w:val="0"/>
                <w:bCs/>
                <w:sz w:val="22"/>
                <w:szCs w:val="22"/>
              </w:rPr>
              <w:t xml:space="preserve">SC </w:t>
            </w:r>
            <w:r w:rsidR="00131887" w:rsidRPr="00131887">
              <w:rPr>
                <w:b w:val="0"/>
                <w:sz w:val="22"/>
                <w:szCs w:val="22"/>
              </w:rPr>
              <w:t>„</w:t>
            </w:r>
            <w:r w:rsidRPr="00131887">
              <w:rPr>
                <w:b w:val="0"/>
                <w:bCs/>
                <w:sz w:val="22"/>
                <w:szCs w:val="22"/>
              </w:rPr>
              <w:t>I</w:t>
            </w:r>
            <w:r>
              <w:rPr>
                <w:b w:val="0"/>
                <w:bCs/>
                <w:sz w:val="22"/>
                <w:szCs w:val="22"/>
              </w:rPr>
              <w:t>ndėlių ir investicijų draudimas</w:t>
            </w:r>
            <w:r w:rsidR="00131887">
              <w:rPr>
                <w:b w:val="0"/>
                <w:bCs/>
                <w:sz w:val="22"/>
                <w:szCs w:val="22"/>
              </w:rPr>
              <w:t>”</w:t>
            </w:r>
          </w:p>
        </w:tc>
      </w:tr>
      <w:tr w:rsidR="00D2569B" w:rsidRPr="00B34608" w:rsidTr="00FE4ABE">
        <w:trPr>
          <w:trHeight w:val="170"/>
        </w:trPr>
        <w:tc>
          <w:tcPr>
            <w:tcW w:w="3794" w:type="dxa"/>
          </w:tcPr>
          <w:p w:rsidR="00D2569B" w:rsidRPr="00B34608" w:rsidRDefault="00D2569B" w:rsidP="00FE4ABE">
            <w:pPr>
              <w:pStyle w:val="Antrat1"/>
              <w:spacing w:before="0" w:line="360" w:lineRule="auto"/>
              <w:rPr>
                <w:b w:val="0"/>
                <w:sz w:val="22"/>
                <w:szCs w:val="22"/>
              </w:rPr>
            </w:pPr>
            <w:r>
              <w:rPr>
                <w:b w:val="0"/>
                <w:bCs/>
                <w:sz w:val="22"/>
                <w:szCs w:val="22"/>
              </w:rPr>
              <w:t>Authorised capital</w:t>
            </w:r>
            <w:r w:rsidRPr="00B34608">
              <w:rPr>
                <w:b w:val="0"/>
                <w:bCs/>
                <w:sz w:val="22"/>
                <w:szCs w:val="22"/>
              </w:rPr>
              <w:t>:</w:t>
            </w:r>
            <w:r w:rsidRPr="00B34608">
              <w:rPr>
                <w:b w:val="0"/>
                <w:bCs/>
                <w:sz w:val="22"/>
                <w:szCs w:val="22"/>
              </w:rPr>
              <w:tab/>
            </w:r>
          </w:p>
        </w:tc>
        <w:tc>
          <w:tcPr>
            <w:tcW w:w="4417" w:type="dxa"/>
          </w:tcPr>
          <w:p w:rsidR="00D2569B" w:rsidRPr="00B34608" w:rsidRDefault="00D2569B" w:rsidP="00FE4ABE">
            <w:pPr>
              <w:pStyle w:val="Antrat1"/>
              <w:spacing w:before="0" w:line="360" w:lineRule="auto"/>
              <w:rPr>
                <w:b w:val="0"/>
                <w:sz w:val="22"/>
                <w:szCs w:val="22"/>
              </w:rPr>
            </w:pPr>
            <w:r>
              <w:rPr>
                <w:b w:val="0"/>
                <w:bCs/>
                <w:sz w:val="22"/>
                <w:szCs w:val="22"/>
              </w:rPr>
              <w:t xml:space="preserve">EUR </w:t>
            </w:r>
            <w:r w:rsidRPr="00B34608">
              <w:rPr>
                <w:b w:val="0"/>
                <w:bCs/>
                <w:sz w:val="22"/>
                <w:szCs w:val="22"/>
              </w:rPr>
              <w:t>8</w:t>
            </w:r>
            <w:r>
              <w:rPr>
                <w:b w:val="0"/>
                <w:bCs/>
                <w:sz w:val="22"/>
                <w:szCs w:val="22"/>
              </w:rPr>
              <w:t>,</w:t>
            </w:r>
            <w:r w:rsidRPr="00B34608">
              <w:rPr>
                <w:b w:val="0"/>
                <w:bCs/>
                <w:sz w:val="22"/>
                <w:szCs w:val="22"/>
              </w:rPr>
              <w:t>995</w:t>
            </w:r>
            <w:r>
              <w:rPr>
                <w:b w:val="0"/>
                <w:bCs/>
                <w:sz w:val="22"/>
                <w:szCs w:val="22"/>
              </w:rPr>
              <w:t>,</w:t>
            </w:r>
            <w:r w:rsidRPr="00B34608">
              <w:rPr>
                <w:b w:val="0"/>
                <w:bCs/>
                <w:sz w:val="22"/>
                <w:szCs w:val="22"/>
              </w:rPr>
              <w:t>358</w:t>
            </w:r>
          </w:p>
        </w:tc>
      </w:tr>
      <w:tr w:rsidR="00D2569B" w:rsidRPr="00B34608" w:rsidTr="00FE4ABE">
        <w:trPr>
          <w:trHeight w:val="170"/>
        </w:trPr>
        <w:tc>
          <w:tcPr>
            <w:tcW w:w="3794" w:type="dxa"/>
          </w:tcPr>
          <w:p w:rsidR="00D2569B" w:rsidRPr="00B34608" w:rsidRDefault="00D2569B" w:rsidP="00FE4ABE">
            <w:pPr>
              <w:pStyle w:val="Antrat1"/>
              <w:spacing w:before="0" w:line="360" w:lineRule="auto"/>
              <w:rPr>
                <w:b w:val="0"/>
                <w:sz w:val="22"/>
                <w:szCs w:val="22"/>
              </w:rPr>
            </w:pPr>
            <w:r>
              <w:rPr>
                <w:b w:val="0"/>
                <w:bCs/>
                <w:sz w:val="22"/>
                <w:szCs w:val="22"/>
              </w:rPr>
              <w:t>Registration date</w:t>
            </w:r>
            <w:r w:rsidRPr="00B34608">
              <w:rPr>
                <w:b w:val="0"/>
                <w:bCs/>
                <w:sz w:val="22"/>
                <w:szCs w:val="22"/>
              </w:rPr>
              <w:t>:</w:t>
            </w:r>
            <w:r w:rsidRPr="00B34608">
              <w:rPr>
                <w:b w:val="0"/>
                <w:bCs/>
                <w:sz w:val="22"/>
                <w:szCs w:val="22"/>
              </w:rPr>
              <w:tab/>
            </w:r>
          </w:p>
        </w:tc>
        <w:tc>
          <w:tcPr>
            <w:tcW w:w="4417" w:type="dxa"/>
          </w:tcPr>
          <w:p w:rsidR="00D2569B" w:rsidRPr="00B34608" w:rsidRDefault="00D2569B" w:rsidP="00FE4ABE">
            <w:pPr>
              <w:pStyle w:val="Antrat1"/>
              <w:spacing w:before="0" w:line="360" w:lineRule="auto"/>
              <w:rPr>
                <w:b w:val="0"/>
                <w:sz w:val="22"/>
                <w:szCs w:val="22"/>
              </w:rPr>
            </w:pPr>
            <w:r>
              <w:rPr>
                <w:b w:val="0"/>
                <w:bCs/>
                <w:sz w:val="22"/>
                <w:szCs w:val="22"/>
              </w:rPr>
              <w:t xml:space="preserve">16 December </w:t>
            </w:r>
            <w:r w:rsidRPr="00B34608">
              <w:rPr>
                <w:b w:val="0"/>
                <w:bCs/>
                <w:sz w:val="22"/>
                <w:szCs w:val="22"/>
              </w:rPr>
              <w:t>1996</w:t>
            </w:r>
          </w:p>
        </w:tc>
      </w:tr>
      <w:tr w:rsidR="00D2569B" w:rsidRPr="00B34608" w:rsidTr="00FE4ABE">
        <w:trPr>
          <w:trHeight w:val="170"/>
        </w:trPr>
        <w:tc>
          <w:tcPr>
            <w:tcW w:w="3794" w:type="dxa"/>
          </w:tcPr>
          <w:p w:rsidR="00D2569B" w:rsidRPr="00B34608" w:rsidRDefault="00D2569B" w:rsidP="00FE4ABE">
            <w:pPr>
              <w:pStyle w:val="Antrat1"/>
              <w:spacing w:before="0" w:line="360" w:lineRule="auto"/>
              <w:rPr>
                <w:b w:val="0"/>
                <w:sz w:val="22"/>
                <w:szCs w:val="22"/>
              </w:rPr>
            </w:pPr>
            <w:r>
              <w:rPr>
                <w:b w:val="0"/>
                <w:bCs/>
                <w:sz w:val="22"/>
                <w:szCs w:val="22"/>
              </w:rPr>
              <w:t>Corporate code</w:t>
            </w:r>
            <w:r w:rsidRPr="00B34608">
              <w:rPr>
                <w:b w:val="0"/>
                <w:bCs/>
                <w:sz w:val="22"/>
                <w:szCs w:val="22"/>
              </w:rPr>
              <w:t>:</w:t>
            </w:r>
          </w:p>
        </w:tc>
        <w:tc>
          <w:tcPr>
            <w:tcW w:w="4417" w:type="dxa"/>
          </w:tcPr>
          <w:p w:rsidR="00D2569B" w:rsidRPr="00B34608" w:rsidRDefault="00D2569B" w:rsidP="00FE4ABE">
            <w:pPr>
              <w:pStyle w:val="Antrat1"/>
              <w:spacing w:before="0" w:line="360" w:lineRule="auto"/>
              <w:rPr>
                <w:b w:val="0"/>
                <w:sz w:val="22"/>
                <w:szCs w:val="22"/>
              </w:rPr>
            </w:pPr>
            <w:r w:rsidRPr="00B34608">
              <w:rPr>
                <w:b w:val="0"/>
                <w:bCs/>
                <w:sz w:val="22"/>
                <w:szCs w:val="22"/>
              </w:rPr>
              <w:t>110069451</w:t>
            </w:r>
          </w:p>
        </w:tc>
      </w:tr>
      <w:tr w:rsidR="00D2569B" w:rsidRPr="00B34608" w:rsidTr="00FE4ABE">
        <w:trPr>
          <w:trHeight w:val="170"/>
        </w:trPr>
        <w:tc>
          <w:tcPr>
            <w:tcW w:w="3794" w:type="dxa"/>
          </w:tcPr>
          <w:p w:rsidR="00D2569B" w:rsidRPr="004635E1" w:rsidRDefault="00D2569B" w:rsidP="00FE4ABE">
            <w:pPr>
              <w:pStyle w:val="Antrat1"/>
              <w:spacing w:before="0" w:line="360" w:lineRule="auto"/>
              <w:rPr>
                <w:b w:val="0"/>
                <w:sz w:val="22"/>
                <w:szCs w:val="22"/>
              </w:rPr>
            </w:pPr>
            <w:r w:rsidRPr="004635E1">
              <w:rPr>
                <w:b w:val="0"/>
                <w:bCs/>
                <w:sz w:val="22"/>
                <w:szCs w:val="22"/>
              </w:rPr>
              <w:t>Institution implementing rights and obligations of the owner:</w:t>
            </w:r>
            <w:r w:rsidRPr="004635E1">
              <w:rPr>
                <w:b w:val="0"/>
                <w:bCs/>
                <w:sz w:val="22"/>
                <w:szCs w:val="22"/>
              </w:rPr>
              <w:tab/>
            </w:r>
          </w:p>
        </w:tc>
        <w:tc>
          <w:tcPr>
            <w:tcW w:w="4417" w:type="dxa"/>
          </w:tcPr>
          <w:p w:rsidR="00D2569B" w:rsidRPr="00B34608" w:rsidRDefault="00D2569B" w:rsidP="00FE4ABE">
            <w:pPr>
              <w:pStyle w:val="Antrat1"/>
              <w:spacing w:before="0" w:line="360" w:lineRule="auto"/>
              <w:rPr>
                <w:b w:val="0"/>
                <w:bCs/>
                <w:sz w:val="22"/>
                <w:szCs w:val="22"/>
              </w:rPr>
            </w:pPr>
          </w:p>
          <w:p w:rsidR="00D2569B" w:rsidRPr="00B34608" w:rsidRDefault="00D2569B" w:rsidP="00FE4ABE">
            <w:pPr>
              <w:pStyle w:val="Antrat1"/>
              <w:spacing w:before="0" w:line="360" w:lineRule="auto"/>
              <w:rPr>
                <w:b w:val="0"/>
                <w:sz w:val="22"/>
                <w:szCs w:val="22"/>
              </w:rPr>
            </w:pPr>
            <w:r>
              <w:rPr>
                <w:b w:val="0"/>
                <w:bCs/>
                <w:sz w:val="22"/>
                <w:szCs w:val="22"/>
              </w:rPr>
              <w:t xml:space="preserve">Ministry of Finance of the </w:t>
            </w:r>
            <w:smartTag w:uri="urn:schemas-microsoft-com:office:smarttags" w:element="PlaceType">
              <w:smartTag w:uri="urn:schemas-microsoft-com:office:smarttags" w:element="place">
                <w:r>
                  <w:rPr>
                    <w:b w:val="0"/>
                    <w:bCs/>
                    <w:sz w:val="22"/>
                    <w:szCs w:val="22"/>
                  </w:rPr>
                  <w:t>Republic</w:t>
                </w:r>
              </w:smartTag>
              <w:r>
                <w:rPr>
                  <w:b w:val="0"/>
                  <w:bCs/>
                  <w:sz w:val="22"/>
                  <w:szCs w:val="22"/>
                </w:rPr>
                <w:t xml:space="preserve"> of </w:t>
              </w:r>
              <w:smartTag w:uri="urn:schemas-microsoft-com:office:smarttags" w:element="Street">
                <w:smartTag w:uri="urn:schemas-microsoft-com:office:smarttags" w:element="PlaceName">
                  <w:r>
                    <w:rPr>
                      <w:b w:val="0"/>
                      <w:bCs/>
                      <w:sz w:val="22"/>
                      <w:szCs w:val="22"/>
                    </w:rPr>
                    <w:t>Lithuania</w:t>
                  </w:r>
                </w:smartTag>
              </w:smartTag>
            </w:smartTag>
            <w:r>
              <w:rPr>
                <w:b w:val="0"/>
                <w:bCs/>
                <w:sz w:val="22"/>
                <w:szCs w:val="22"/>
              </w:rPr>
              <w:t xml:space="preserve"> </w:t>
            </w:r>
          </w:p>
        </w:tc>
      </w:tr>
      <w:tr w:rsidR="00D2569B" w:rsidRPr="00B34608" w:rsidTr="00FE4ABE">
        <w:trPr>
          <w:trHeight w:val="170"/>
        </w:trPr>
        <w:tc>
          <w:tcPr>
            <w:tcW w:w="3794" w:type="dxa"/>
          </w:tcPr>
          <w:p w:rsidR="00D2569B" w:rsidRPr="00B34608" w:rsidRDefault="00D2569B" w:rsidP="00FE4ABE">
            <w:pPr>
              <w:pStyle w:val="Antrat1"/>
              <w:spacing w:before="0" w:line="360" w:lineRule="auto"/>
              <w:rPr>
                <w:b w:val="0"/>
                <w:sz w:val="22"/>
                <w:szCs w:val="22"/>
              </w:rPr>
            </w:pPr>
            <w:r>
              <w:rPr>
                <w:b w:val="0"/>
                <w:bCs/>
                <w:sz w:val="22"/>
                <w:szCs w:val="22"/>
              </w:rPr>
              <w:t>Registered office address</w:t>
            </w:r>
            <w:r w:rsidRPr="00B34608">
              <w:rPr>
                <w:b w:val="0"/>
                <w:bCs/>
                <w:sz w:val="22"/>
                <w:szCs w:val="22"/>
              </w:rPr>
              <w:t>:</w:t>
            </w:r>
            <w:r w:rsidRPr="00B34608">
              <w:rPr>
                <w:b w:val="0"/>
                <w:bCs/>
                <w:sz w:val="22"/>
                <w:szCs w:val="22"/>
              </w:rPr>
              <w:tab/>
            </w:r>
          </w:p>
        </w:tc>
        <w:tc>
          <w:tcPr>
            <w:tcW w:w="4417" w:type="dxa"/>
          </w:tcPr>
          <w:p w:rsidR="00D2569B" w:rsidRPr="00B34608" w:rsidRDefault="00D2569B" w:rsidP="00FE4ABE">
            <w:pPr>
              <w:pStyle w:val="Antrat1"/>
              <w:spacing w:before="0" w:line="360" w:lineRule="auto"/>
              <w:rPr>
                <w:b w:val="0"/>
                <w:sz w:val="22"/>
                <w:szCs w:val="22"/>
              </w:rPr>
            </w:pPr>
            <w:proofErr w:type="spellStart"/>
            <w:r w:rsidRPr="00B34608">
              <w:rPr>
                <w:b w:val="0"/>
                <w:bCs/>
                <w:sz w:val="22"/>
                <w:szCs w:val="22"/>
              </w:rPr>
              <w:t>Algirdo</w:t>
            </w:r>
            <w:proofErr w:type="spellEnd"/>
            <w:r w:rsidRPr="00B34608">
              <w:rPr>
                <w:b w:val="0"/>
                <w:bCs/>
                <w:sz w:val="22"/>
                <w:szCs w:val="22"/>
              </w:rPr>
              <w:t xml:space="preserve"> g. 31, LT-03219, </w:t>
            </w:r>
            <w:smartTag w:uri="urn:schemas-microsoft-com:office:smarttags" w:element="Street">
              <w:smartTag w:uri="urn:schemas-microsoft-com:office:smarttags" w:element="place">
                <w:smartTag w:uri="urn:schemas-microsoft-com:office:smarttags" w:element="City">
                  <w:r w:rsidRPr="00B34608">
                    <w:rPr>
                      <w:b w:val="0"/>
                      <w:bCs/>
                      <w:sz w:val="22"/>
                      <w:szCs w:val="22"/>
                    </w:rPr>
                    <w:t>Vilnius</w:t>
                  </w:r>
                </w:smartTag>
              </w:smartTag>
            </w:smartTag>
          </w:p>
        </w:tc>
      </w:tr>
      <w:tr w:rsidR="00D2569B" w:rsidRPr="00B34608" w:rsidTr="00FE4ABE">
        <w:trPr>
          <w:trHeight w:val="170"/>
        </w:trPr>
        <w:tc>
          <w:tcPr>
            <w:tcW w:w="3794" w:type="dxa"/>
          </w:tcPr>
          <w:p w:rsidR="00D2569B" w:rsidRPr="00B34608" w:rsidRDefault="00D2569B" w:rsidP="00FE4ABE">
            <w:pPr>
              <w:pStyle w:val="Antrat1"/>
              <w:spacing w:before="0" w:line="360" w:lineRule="auto"/>
              <w:rPr>
                <w:b w:val="0"/>
                <w:sz w:val="22"/>
                <w:szCs w:val="22"/>
              </w:rPr>
            </w:pPr>
            <w:r>
              <w:rPr>
                <w:b w:val="0"/>
                <w:bCs/>
                <w:sz w:val="22"/>
                <w:szCs w:val="22"/>
              </w:rPr>
              <w:t>Legal form</w:t>
            </w:r>
            <w:r w:rsidRPr="00B34608">
              <w:rPr>
                <w:b w:val="0"/>
                <w:bCs/>
                <w:sz w:val="22"/>
                <w:szCs w:val="22"/>
              </w:rPr>
              <w:t>:</w:t>
            </w:r>
            <w:r w:rsidRPr="00B34608">
              <w:rPr>
                <w:b w:val="0"/>
                <w:bCs/>
                <w:sz w:val="22"/>
                <w:szCs w:val="22"/>
              </w:rPr>
              <w:tab/>
            </w:r>
            <w:r w:rsidRPr="00B34608">
              <w:rPr>
                <w:b w:val="0"/>
                <w:bCs/>
                <w:sz w:val="22"/>
                <w:szCs w:val="22"/>
              </w:rPr>
              <w:tab/>
            </w:r>
          </w:p>
        </w:tc>
        <w:tc>
          <w:tcPr>
            <w:tcW w:w="4417" w:type="dxa"/>
          </w:tcPr>
          <w:p w:rsidR="00D2569B" w:rsidRPr="00B34608" w:rsidRDefault="00D2569B" w:rsidP="00FE4ABE">
            <w:pPr>
              <w:pStyle w:val="Antrat1"/>
              <w:spacing w:before="0" w:line="360" w:lineRule="auto"/>
              <w:rPr>
                <w:b w:val="0"/>
                <w:sz w:val="22"/>
                <w:szCs w:val="22"/>
              </w:rPr>
            </w:pPr>
            <w:r>
              <w:rPr>
                <w:b w:val="0"/>
                <w:bCs/>
                <w:sz w:val="22"/>
                <w:szCs w:val="22"/>
              </w:rPr>
              <w:t>State Company</w:t>
            </w:r>
          </w:p>
        </w:tc>
      </w:tr>
      <w:tr w:rsidR="00D2569B" w:rsidRPr="00B34608" w:rsidTr="00FE4ABE">
        <w:trPr>
          <w:trHeight w:val="170"/>
        </w:trPr>
        <w:tc>
          <w:tcPr>
            <w:tcW w:w="3794" w:type="dxa"/>
          </w:tcPr>
          <w:p w:rsidR="00D2569B" w:rsidRPr="00B34608" w:rsidRDefault="00D2569B" w:rsidP="00FE4ABE">
            <w:pPr>
              <w:pStyle w:val="Antrat1"/>
              <w:spacing w:before="0" w:line="360" w:lineRule="auto"/>
              <w:rPr>
                <w:b w:val="0"/>
                <w:sz w:val="22"/>
                <w:szCs w:val="22"/>
              </w:rPr>
            </w:pPr>
            <w:r>
              <w:rPr>
                <w:b w:val="0"/>
                <w:bCs/>
                <w:sz w:val="22"/>
                <w:szCs w:val="22"/>
              </w:rPr>
              <w:t>Date of registration of existing Articles of Association</w:t>
            </w:r>
            <w:r w:rsidRPr="00B34608">
              <w:rPr>
                <w:b w:val="0"/>
                <w:bCs/>
                <w:sz w:val="22"/>
                <w:szCs w:val="22"/>
              </w:rPr>
              <w:t>:</w:t>
            </w:r>
          </w:p>
        </w:tc>
        <w:tc>
          <w:tcPr>
            <w:tcW w:w="4417" w:type="dxa"/>
          </w:tcPr>
          <w:p w:rsidR="00D2569B" w:rsidRPr="00B34608" w:rsidRDefault="00D2569B" w:rsidP="00FE4ABE">
            <w:pPr>
              <w:pStyle w:val="Antrat1"/>
              <w:spacing w:before="0" w:line="360" w:lineRule="auto"/>
              <w:rPr>
                <w:b w:val="0"/>
                <w:sz w:val="22"/>
                <w:szCs w:val="22"/>
              </w:rPr>
            </w:pPr>
            <w:r>
              <w:rPr>
                <w:b w:val="0"/>
                <w:bCs/>
                <w:sz w:val="22"/>
                <w:szCs w:val="22"/>
              </w:rPr>
              <w:t xml:space="preserve">23 December </w:t>
            </w:r>
            <w:r w:rsidRPr="00B34608">
              <w:rPr>
                <w:b w:val="0"/>
                <w:bCs/>
                <w:sz w:val="22"/>
                <w:szCs w:val="22"/>
              </w:rPr>
              <w:t>2014</w:t>
            </w:r>
          </w:p>
        </w:tc>
      </w:tr>
      <w:tr w:rsidR="00D2569B" w:rsidRPr="00B34608" w:rsidTr="00FE4ABE">
        <w:trPr>
          <w:trHeight w:val="170"/>
        </w:trPr>
        <w:tc>
          <w:tcPr>
            <w:tcW w:w="3794" w:type="dxa"/>
          </w:tcPr>
          <w:p w:rsidR="00D2569B" w:rsidRPr="00B34608" w:rsidRDefault="00D2569B" w:rsidP="00FE4ABE">
            <w:pPr>
              <w:pStyle w:val="Antrat1"/>
              <w:spacing w:before="0" w:line="360" w:lineRule="auto"/>
              <w:rPr>
                <w:b w:val="0"/>
                <w:sz w:val="22"/>
                <w:szCs w:val="22"/>
              </w:rPr>
            </w:pPr>
            <w:r>
              <w:rPr>
                <w:b w:val="0"/>
                <w:bCs/>
                <w:sz w:val="22"/>
                <w:szCs w:val="22"/>
              </w:rPr>
              <w:t>Phone</w:t>
            </w:r>
            <w:r w:rsidRPr="00B34608">
              <w:rPr>
                <w:b w:val="0"/>
                <w:bCs/>
                <w:sz w:val="22"/>
                <w:szCs w:val="22"/>
              </w:rPr>
              <w:t>:</w:t>
            </w:r>
            <w:r w:rsidRPr="00B34608">
              <w:rPr>
                <w:b w:val="0"/>
                <w:bCs/>
                <w:sz w:val="22"/>
                <w:szCs w:val="22"/>
              </w:rPr>
              <w:tab/>
            </w:r>
          </w:p>
        </w:tc>
        <w:tc>
          <w:tcPr>
            <w:tcW w:w="4417" w:type="dxa"/>
          </w:tcPr>
          <w:p w:rsidR="00D2569B" w:rsidRPr="00B34608" w:rsidRDefault="00D2569B" w:rsidP="00FE4ABE">
            <w:pPr>
              <w:pStyle w:val="Antrat1"/>
              <w:spacing w:before="0" w:line="360" w:lineRule="auto"/>
              <w:rPr>
                <w:b w:val="0"/>
                <w:sz w:val="22"/>
                <w:szCs w:val="22"/>
              </w:rPr>
            </w:pPr>
            <w:r w:rsidRPr="00B34608">
              <w:rPr>
                <w:b w:val="0"/>
                <w:bCs/>
                <w:sz w:val="22"/>
                <w:szCs w:val="22"/>
              </w:rPr>
              <w:t>(8-5) 213 56 57</w:t>
            </w:r>
          </w:p>
        </w:tc>
      </w:tr>
      <w:tr w:rsidR="00D2569B" w:rsidRPr="00B34608" w:rsidTr="00FE4ABE">
        <w:trPr>
          <w:trHeight w:val="170"/>
        </w:trPr>
        <w:tc>
          <w:tcPr>
            <w:tcW w:w="3794" w:type="dxa"/>
          </w:tcPr>
          <w:p w:rsidR="00D2569B" w:rsidRPr="00B34608" w:rsidRDefault="00D2569B" w:rsidP="00FE4ABE">
            <w:pPr>
              <w:pStyle w:val="Antrat1"/>
              <w:spacing w:before="0" w:line="360" w:lineRule="auto"/>
              <w:rPr>
                <w:b w:val="0"/>
                <w:sz w:val="22"/>
                <w:szCs w:val="22"/>
              </w:rPr>
            </w:pPr>
            <w:r w:rsidRPr="00B34608">
              <w:rPr>
                <w:b w:val="0"/>
                <w:bCs/>
                <w:sz w:val="22"/>
                <w:szCs w:val="22"/>
              </w:rPr>
              <w:t>E</w:t>
            </w:r>
            <w:r>
              <w:rPr>
                <w:b w:val="0"/>
                <w:bCs/>
                <w:sz w:val="22"/>
                <w:szCs w:val="22"/>
              </w:rPr>
              <w:t>-mail address</w:t>
            </w:r>
            <w:r w:rsidRPr="00B34608">
              <w:rPr>
                <w:b w:val="0"/>
                <w:bCs/>
                <w:sz w:val="22"/>
                <w:szCs w:val="22"/>
              </w:rPr>
              <w:t>:</w:t>
            </w:r>
            <w:r w:rsidRPr="00B34608">
              <w:rPr>
                <w:b w:val="0"/>
                <w:bCs/>
                <w:sz w:val="22"/>
                <w:szCs w:val="22"/>
              </w:rPr>
              <w:tab/>
            </w:r>
          </w:p>
        </w:tc>
        <w:tc>
          <w:tcPr>
            <w:tcW w:w="4417" w:type="dxa"/>
          </w:tcPr>
          <w:p w:rsidR="00D2569B" w:rsidRPr="00B34608" w:rsidRDefault="0065529B" w:rsidP="00FE4ABE">
            <w:pPr>
              <w:pStyle w:val="Antrat1"/>
              <w:spacing w:before="0" w:line="360" w:lineRule="auto"/>
              <w:rPr>
                <w:b w:val="0"/>
                <w:sz w:val="22"/>
                <w:szCs w:val="22"/>
              </w:rPr>
            </w:pPr>
            <w:hyperlink r:id="rId11" w:history="1">
              <w:r w:rsidR="00D2569B" w:rsidRPr="00B34608">
                <w:rPr>
                  <w:rStyle w:val="Hipersaitas"/>
                  <w:b w:val="0"/>
                  <w:bCs/>
                  <w:color w:val="auto"/>
                  <w:sz w:val="22"/>
                  <w:szCs w:val="22"/>
                  <w:u w:val="none"/>
                </w:rPr>
                <w:t>idf@idf.lt</w:t>
              </w:r>
            </w:hyperlink>
          </w:p>
        </w:tc>
      </w:tr>
      <w:tr w:rsidR="00D2569B" w:rsidRPr="00B34608" w:rsidTr="00FE4ABE">
        <w:trPr>
          <w:trHeight w:val="170"/>
        </w:trPr>
        <w:tc>
          <w:tcPr>
            <w:tcW w:w="3794" w:type="dxa"/>
          </w:tcPr>
          <w:p w:rsidR="00D2569B" w:rsidRPr="00B34608" w:rsidRDefault="00D2569B" w:rsidP="00FE4ABE">
            <w:pPr>
              <w:pStyle w:val="Antrat1"/>
              <w:spacing w:before="0" w:line="360" w:lineRule="auto"/>
              <w:rPr>
                <w:b w:val="0"/>
                <w:bCs/>
                <w:sz w:val="22"/>
                <w:szCs w:val="22"/>
              </w:rPr>
            </w:pPr>
            <w:r>
              <w:rPr>
                <w:b w:val="0"/>
                <w:bCs/>
                <w:sz w:val="22"/>
                <w:szCs w:val="22"/>
              </w:rPr>
              <w:t>Website</w:t>
            </w:r>
            <w:r w:rsidRPr="00B34608">
              <w:rPr>
                <w:b w:val="0"/>
                <w:bCs/>
                <w:sz w:val="22"/>
                <w:szCs w:val="22"/>
              </w:rPr>
              <w:t>:</w:t>
            </w:r>
            <w:r w:rsidRPr="00B34608">
              <w:rPr>
                <w:b w:val="0"/>
                <w:bCs/>
                <w:sz w:val="22"/>
                <w:szCs w:val="22"/>
              </w:rPr>
              <w:tab/>
            </w:r>
          </w:p>
        </w:tc>
        <w:tc>
          <w:tcPr>
            <w:tcW w:w="4417" w:type="dxa"/>
          </w:tcPr>
          <w:p w:rsidR="00D2569B" w:rsidRPr="00B34608" w:rsidRDefault="0065529B" w:rsidP="00FE4ABE">
            <w:pPr>
              <w:pStyle w:val="Antrat1"/>
              <w:spacing w:before="0" w:line="360" w:lineRule="auto"/>
              <w:rPr>
                <w:b w:val="0"/>
                <w:sz w:val="22"/>
                <w:szCs w:val="22"/>
              </w:rPr>
            </w:pPr>
            <w:hyperlink r:id="rId12" w:history="1">
              <w:r w:rsidR="00D2569B" w:rsidRPr="00B34608">
                <w:rPr>
                  <w:rStyle w:val="Hipersaitas"/>
                  <w:b w:val="0"/>
                  <w:bCs/>
                  <w:color w:val="auto"/>
                  <w:sz w:val="22"/>
                  <w:szCs w:val="22"/>
                  <w:u w:val="none"/>
                </w:rPr>
                <w:t>www.iidraudimas.lt</w:t>
              </w:r>
            </w:hyperlink>
          </w:p>
        </w:tc>
      </w:tr>
      <w:tr w:rsidR="00D2569B" w:rsidRPr="00B34608" w:rsidTr="00FE4ABE">
        <w:trPr>
          <w:trHeight w:val="170"/>
        </w:trPr>
        <w:tc>
          <w:tcPr>
            <w:tcW w:w="3794" w:type="dxa"/>
          </w:tcPr>
          <w:p w:rsidR="00D2569B" w:rsidRPr="00B34608" w:rsidRDefault="00D2569B" w:rsidP="00FE4ABE">
            <w:pPr>
              <w:pStyle w:val="Antrat1"/>
              <w:spacing w:before="0" w:line="360" w:lineRule="auto"/>
              <w:rPr>
                <w:b w:val="0"/>
                <w:bCs/>
                <w:sz w:val="22"/>
                <w:szCs w:val="22"/>
              </w:rPr>
            </w:pPr>
            <w:r>
              <w:rPr>
                <w:b w:val="0"/>
                <w:color w:val="000000"/>
                <w:sz w:val="22"/>
                <w:szCs w:val="22"/>
                <w:shd w:val="clear" w:color="auto" w:fill="FFFFFF"/>
              </w:rPr>
              <w:t>Management bodies of the Company:</w:t>
            </w:r>
            <w:r w:rsidRPr="00B34608">
              <w:rPr>
                <w:b w:val="0"/>
                <w:color w:val="000000"/>
                <w:sz w:val="22"/>
                <w:szCs w:val="22"/>
                <w:shd w:val="clear" w:color="auto" w:fill="FFFFFF"/>
              </w:rPr>
              <w:t xml:space="preserve">                </w:t>
            </w:r>
          </w:p>
        </w:tc>
        <w:tc>
          <w:tcPr>
            <w:tcW w:w="4417" w:type="dxa"/>
          </w:tcPr>
          <w:p w:rsidR="00D2569B" w:rsidRPr="00B34608" w:rsidRDefault="00D2569B" w:rsidP="00FE4ABE">
            <w:pPr>
              <w:spacing w:line="360" w:lineRule="auto"/>
              <w:jc w:val="both"/>
              <w:rPr>
                <w:color w:val="000000"/>
                <w:szCs w:val="22"/>
                <w:shd w:val="clear" w:color="auto" w:fill="FFFFFF"/>
              </w:rPr>
            </w:pPr>
            <w:r>
              <w:rPr>
                <w:color w:val="000000"/>
                <w:szCs w:val="22"/>
                <w:shd w:val="clear" w:color="auto" w:fill="FFFFFF"/>
              </w:rPr>
              <w:t>Council and Director of the Company</w:t>
            </w:r>
            <w:r w:rsidRPr="00B34608">
              <w:rPr>
                <w:color w:val="000000"/>
                <w:szCs w:val="22"/>
                <w:shd w:val="clear" w:color="auto" w:fill="FFFFFF"/>
              </w:rPr>
              <w:t>.</w:t>
            </w:r>
          </w:p>
        </w:tc>
      </w:tr>
    </w:tbl>
    <w:p w:rsidR="00D2569B" w:rsidRPr="00B34608" w:rsidRDefault="00D2569B" w:rsidP="00FE481D">
      <w:pPr>
        <w:spacing w:line="360" w:lineRule="auto"/>
        <w:jc w:val="both"/>
        <w:rPr>
          <w:color w:val="000000"/>
          <w:szCs w:val="22"/>
          <w:shd w:val="clear" w:color="auto" w:fill="FFFFFF"/>
        </w:rPr>
      </w:pPr>
    </w:p>
    <w:p w:rsidR="00D2569B" w:rsidRPr="00B34608" w:rsidRDefault="00D2569B" w:rsidP="00FE481D">
      <w:pPr>
        <w:spacing w:line="360" w:lineRule="auto"/>
        <w:jc w:val="both"/>
        <w:rPr>
          <w:color w:val="000000"/>
          <w:szCs w:val="22"/>
          <w:shd w:val="clear" w:color="auto" w:fill="FFFFFF"/>
        </w:rPr>
      </w:pPr>
      <w:r>
        <w:rPr>
          <w:color w:val="000000"/>
          <w:szCs w:val="22"/>
          <w:shd w:val="clear" w:color="auto" w:fill="FFFFFF"/>
        </w:rPr>
        <w:t>As of 31 December</w:t>
      </w:r>
      <w:r w:rsidRPr="00B34608">
        <w:rPr>
          <w:color w:val="000000"/>
          <w:szCs w:val="22"/>
          <w:shd w:val="clear" w:color="auto" w:fill="FFFFFF"/>
        </w:rPr>
        <w:t xml:space="preserve"> 2017</w:t>
      </w:r>
      <w:r>
        <w:rPr>
          <w:color w:val="000000"/>
          <w:szCs w:val="22"/>
          <w:shd w:val="clear" w:color="auto" w:fill="FFFFFF"/>
        </w:rPr>
        <w:t>, the Company’s Council consisted of 5 members</w:t>
      </w:r>
      <w:r w:rsidRPr="00B34608">
        <w:rPr>
          <w:color w:val="000000"/>
          <w:szCs w:val="22"/>
          <w:shd w:val="clear" w:color="auto" w:fill="FFFFFF"/>
        </w:rPr>
        <w:t>:</w:t>
      </w:r>
    </w:p>
    <w:tbl>
      <w:tblPr>
        <w:tblW w:w="0" w:type="auto"/>
        <w:tblLook w:val="00A0" w:firstRow="1" w:lastRow="0" w:firstColumn="1" w:lastColumn="0" w:noHBand="0" w:noVBand="0"/>
      </w:tblPr>
      <w:tblGrid>
        <w:gridCol w:w="3227"/>
        <w:gridCol w:w="1701"/>
        <w:gridCol w:w="511"/>
        <w:gridCol w:w="3119"/>
        <w:gridCol w:w="339"/>
        <w:gridCol w:w="172"/>
      </w:tblGrid>
      <w:tr w:rsidR="00D2569B" w:rsidRPr="00B34608" w:rsidTr="00FE4ABE">
        <w:trPr>
          <w:gridAfter w:val="1"/>
          <w:wAfter w:w="172" w:type="dxa"/>
          <w:trHeight w:val="113"/>
        </w:trPr>
        <w:tc>
          <w:tcPr>
            <w:tcW w:w="3227" w:type="dxa"/>
          </w:tcPr>
          <w:p w:rsidR="00D2569B" w:rsidRPr="00B34608" w:rsidRDefault="00D2569B" w:rsidP="00FE4ABE">
            <w:pPr>
              <w:spacing w:line="360" w:lineRule="auto"/>
              <w:rPr>
                <w:color w:val="000000"/>
                <w:szCs w:val="22"/>
                <w:shd w:val="clear" w:color="auto" w:fill="FFFFFF"/>
              </w:rPr>
            </w:pPr>
            <w:r>
              <w:rPr>
                <w:color w:val="000000"/>
                <w:szCs w:val="22"/>
                <w:shd w:val="clear" w:color="auto" w:fill="FFFFFF"/>
              </w:rPr>
              <w:t>Chair of the Council</w:t>
            </w:r>
            <w:r w:rsidRPr="00B34608">
              <w:rPr>
                <w:color w:val="000000"/>
                <w:szCs w:val="22"/>
                <w:shd w:val="clear" w:color="auto" w:fill="FFFFFF"/>
              </w:rPr>
              <w:t>:</w:t>
            </w:r>
          </w:p>
        </w:tc>
        <w:tc>
          <w:tcPr>
            <w:tcW w:w="5670" w:type="dxa"/>
            <w:gridSpan w:val="4"/>
          </w:tcPr>
          <w:p w:rsidR="00D2569B" w:rsidRPr="00B34608" w:rsidRDefault="00D2569B" w:rsidP="00FE4ABE">
            <w:pPr>
              <w:spacing w:line="360" w:lineRule="auto"/>
              <w:jc w:val="both"/>
              <w:rPr>
                <w:color w:val="000000"/>
                <w:szCs w:val="22"/>
                <w:shd w:val="clear" w:color="auto" w:fill="FFFFFF"/>
              </w:rPr>
            </w:pPr>
            <w:proofErr w:type="spellStart"/>
            <w:r w:rsidRPr="00B34608">
              <w:rPr>
                <w:color w:val="000000"/>
                <w:szCs w:val="22"/>
                <w:shd w:val="clear" w:color="auto" w:fill="FFFFFF"/>
              </w:rPr>
              <w:t>Sigitas</w:t>
            </w:r>
            <w:proofErr w:type="spellEnd"/>
            <w:r w:rsidRPr="00B34608">
              <w:rPr>
                <w:color w:val="000000"/>
                <w:szCs w:val="22"/>
                <w:shd w:val="clear" w:color="auto" w:fill="FFFFFF"/>
              </w:rPr>
              <w:t xml:space="preserve"> </w:t>
            </w:r>
            <w:proofErr w:type="spellStart"/>
            <w:r w:rsidRPr="00B34608">
              <w:rPr>
                <w:color w:val="000000"/>
                <w:szCs w:val="22"/>
                <w:shd w:val="clear" w:color="auto" w:fill="FFFFFF"/>
              </w:rPr>
              <w:t>Mitkus</w:t>
            </w:r>
            <w:proofErr w:type="spellEnd"/>
            <w:r w:rsidRPr="00B34608">
              <w:rPr>
                <w:color w:val="000000"/>
                <w:szCs w:val="22"/>
                <w:shd w:val="clear" w:color="auto" w:fill="FFFFFF"/>
              </w:rPr>
              <w:t xml:space="preserve">, </w:t>
            </w:r>
            <w:r>
              <w:t>Director of Financial Markets Policy Department of the Ministry of Finance</w:t>
            </w:r>
            <w:r w:rsidRPr="00B34608">
              <w:rPr>
                <w:color w:val="000000"/>
                <w:szCs w:val="22"/>
                <w:shd w:val="clear" w:color="auto" w:fill="FFFFFF"/>
              </w:rPr>
              <w:t>;</w:t>
            </w:r>
          </w:p>
        </w:tc>
      </w:tr>
      <w:tr w:rsidR="00D2569B" w:rsidRPr="00B34608" w:rsidTr="00FE4ABE">
        <w:trPr>
          <w:gridAfter w:val="1"/>
          <w:wAfter w:w="172" w:type="dxa"/>
          <w:trHeight w:val="113"/>
        </w:trPr>
        <w:tc>
          <w:tcPr>
            <w:tcW w:w="3227" w:type="dxa"/>
          </w:tcPr>
          <w:p w:rsidR="00D2569B" w:rsidRPr="00B34608" w:rsidRDefault="00D2569B" w:rsidP="00FE4ABE">
            <w:pPr>
              <w:spacing w:line="360" w:lineRule="auto"/>
              <w:rPr>
                <w:color w:val="000000"/>
                <w:szCs w:val="22"/>
                <w:shd w:val="clear" w:color="auto" w:fill="FFFFFF"/>
              </w:rPr>
            </w:pPr>
            <w:r>
              <w:rPr>
                <w:color w:val="000000"/>
                <w:szCs w:val="22"/>
                <w:shd w:val="clear" w:color="auto" w:fill="FFFFFF"/>
              </w:rPr>
              <w:t>Deputy Chair of the Council</w:t>
            </w:r>
            <w:r w:rsidRPr="00B34608">
              <w:rPr>
                <w:color w:val="000000"/>
                <w:szCs w:val="22"/>
                <w:shd w:val="clear" w:color="auto" w:fill="FFFFFF"/>
              </w:rPr>
              <w:t xml:space="preserve">:  </w:t>
            </w:r>
          </w:p>
        </w:tc>
        <w:tc>
          <w:tcPr>
            <w:tcW w:w="5670" w:type="dxa"/>
            <w:gridSpan w:val="4"/>
          </w:tcPr>
          <w:p w:rsidR="00D2569B" w:rsidRPr="00B34608" w:rsidRDefault="00D2569B" w:rsidP="00FE4ABE">
            <w:pPr>
              <w:tabs>
                <w:tab w:val="center" w:pos="1276"/>
              </w:tabs>
              <w:spacing w:line="360" w:lineRule="auto"/>
              <w:jc w:val="both"/>
              <w:rPr>
                <w:color w:val="000000"/>
                <w:szCs w:val="22"/>
                <w:shd w:val="clear" w:color="auto" w:fill="FFFFFF"/>
              </w:rPr>
            </w:pPr>
            <w:r w:rsidRPr="00B34608">
              <w:rPr>
                <w:color w:val="000000"/>
                <w:szCs w:val="22"/>
                <w:shd w:val="clear" w:color="auto" w:fill="FFFFFF"/>
              </w:rPr>
              <w:t xml:space="preserve">Lina </w:t>
            </w:r>
            <w:proofErr w:type="spellStart"/>
            <w:r w:rsidRPr="00B34608">
              <w:rPr>
                <w:color w:val="000000"/>
                <w:szCs w:val="22"/>
                <w:shd w:val="clear" w:color="auto" w:fill="FFFFFF"/>
              </w:rPr>
              <w:t>Frejutė</w:t>
            </w:r>
            <w:proofErr w:type="spellEnd"/>
            <w:r w:rsidRPr="00B34608">
              <w:rPr>
                <w:color w:val="000000"/>
                <w:szCs w:val="22"/>
                <w:shd w:val="clear" w:color="auto" w:fill="FFFFFF"/>
              </w:rPr>
              <w:t xml:space="preserve">, </w:t>
            </w:r>
            <w:r>
              <w:t>Deputy Head of Project Management Division of the Ministry of Finance</w:t>
            </w:r>
            <w:r w:rsidRPr="00B34608">
              <w:rPr>
                <w:color w:val="000000"/>
                <w:szCs w:val="22"/>
                <w:shd w:val="clear" w:color="auto" w:fill="FFFFFF"/>
              </w:rPr>
              <w:t>;</w:t>
            </w:r>
            <w:r w:rsidRPr="00B34608">
              <w:rPr>
                <w:color w:val="000000"/>
                <w:szCs w:val="22"/>
                <w:shd w:val="clear" w:color="auto" w:fill="FFFFFF"/>
              </w:rPr>
              <w:tab/>
            </w:r>
          </w:p>
        </w:tc>
      </w:tr>
      <w:tr w:rsidR="00D2569B" w:rsidRPr="00B34608" w:rsidTr="00FE4ABE">
        <w:trPr>
          <w:gridAfter w:val="1"/>
          <w:wAfter w:w="172" w:type="dxa"/>
          <w:trHeight w:val="113"/>
        </w:trPr>
        <w:tc>
          <w:tcPr>
            <w:tcW w:w="3227" w:type="dxa"/>
          </w:tcPr>
          <w:p w:rsidR="00D2569B" w:rsidRPr="00B34608" w:rsidRDefault="00D2569B" w:rsidP="00FE4ABE">
            <w:pPr>
              <w:spacing w:line="360" w:lineRule="auto"/>
              <w:rPr>
                <w:color w:val="000000"/>
                <w:szCs w:val="22"/>
                <w:shd w:val="clear" w:color="auto" w:fill="FFFFFF"/>
              </w:rPr>
            </w:pPr>
            <w:r>
              <w:rPr>
                <w:color w:val="000000"/>
                <w:szCs w:val="22"/>
                <w:shd w:val="clear" w:color="auto" w:fill="FFFFFF"/>
              </w:rPr>
              <w:t>Members of the Council</w:t>
            </w:r>
            <w:r w:rsidRPr="00B34608">
              <w:rPr>
                <w:color w:val="000000"/>
                <w:szCs w:val="22"/>
                <w:shd w:val="clear" w:color="auto" w:fill="FFFFFF"/>
              </w:rPr>
              <w:t>:</w:t>
            </w:r>
          </w:p>
        </w:tc>
        <w:tc>
          <w:tcPr>
            <w:tcW w:w="5670" w:type="dxa"/>
            <w:gridSpan w:val="4"/>
          </w:tcPr>
          <w:p w:rsidR="00D2569B" w:rsidRPr="00B34608" w:rsidRDefault="00D2569B" w:rsidP="00FE4ABE">
            <w:pPr>
              <w:tabs>
                <w:tab w:val="center" w:pos="1276"/>
                <w:tab w:val="left" w:pos="2127"/>
              </w:tabs>
              <w:spacing w:line="360" w:lineRule="auto"/>
              <w:jc w:val="both"/>
              <w:rPr>
                <w:color w:val="000000"/>
                <w:szCs w:val="22"/>
                <w:shd w:val="clear" w:color="auto" w:fill="FFFFFF"/>
              </w:rPr>
            </w:pPr>
            <w:r w:rsidRPr="00B34608">
              <w:rPr>
                <w:color w:val="000000"/>
                <w:szCs w:val="22"/>
                <w:shd w:val="clear" w:color="auto" w:fill="FFFFFF"/>
              </w:rPr>
              <w:t xml:space="preserve">Audrutė Dziskienė, </w:t>
            </w:r>
            <w:r>
              <w:t>Senior Advisor of Financial Markets Policy Department of the Ministry of Finance</w:t>
            </w:r>
            <w:r w:rsidRPr="00B34608">
              <w:rPr>
                <w:color w:val="000000"/>
                <w:szCs w:val="22"/>
                <w:shd w:val="clear" w:color="auto" w:fill="FFFFFF"/>
              </w:rPr>
              <w:t>;</w:t>
            </w:r>
            <w:r w:rsidRPr="00B34608">
              <w:rPr>
                <w:color w:val="000000"/>
                <w:szCs w:val="22"/>
                <w:shd w:val="clear" w:color="auto" w:fill="FFFFFF"/>
              </w:rPr>
              <w:tab/>
            </w:r>
          </w:p>
        </w:tc>
      </w:tr>
      <w:tr w:rsidR="00D2569B" w:rsidRPr="00B34608" w:rsidTr="00FE4ABE">
        <w:trPr>
          <w:gridAfter w:val="1"/>
          <w:wAfter w:w="172" w:type="dxa"/>
          <w:trHeight w:val="113"/>
        </w:trPr>
        <w:tc>
          <w:tcPr>
            <w:tcW w:w="3227" w:type="dxa"/>
          </w:tcPr>
          <w:p w:rsidR="00D2569B" w:rsidRPr="00B34608" w:rsidRDefault="00D2569B" w:rsidP="00FE4ABE">
            <w:pPr>
              <w:spacing w:line="360" w:lineRule="auto"/>
              <w:rPr>
                <w:color w:val="000000"/>
                <w:szCs w:val="22"/>
                <w:shd w:val="clear" w:color="auto" w:fill="FFFFFF"/>
              </w:rPr>
            </w:pPr>
          </w:p>
        </w:tc>
        <w:tc>
          <w:tcPr>
            <w:tcW w:w="5670" w:type="dxa"/>
            <w:gridSpan w:val="4"/>
          </w:tcPr>
          <w:p w:rsidR="00D2569B" w:rsidRPr="00B34608" w:rsidRDefault="00D2569B" w:rsidP="00FE4ABE">
            <w:pPr>
              <w:tabs>
                <w:tab w:val="center" w:pos="1276"/>
              </w:tabs>
              <w:spacing w:line="360" w:lineRule="auto"/>
              <w:jc w:val="both"/>
              <w:rPr>
                <w:color w:val="000000"/>
                <w:szCs w:val="22"/>
                <w:shd w:val="clear" w:color="auto" w:fill="FFFFFF"/>
              </w:rPr>
            </w:pPr>
            <w:r w:rsidRPr="00B34608">
              <w:rPr>
                <w:color w:val="000000"/>
                <w:szCs w:val="22"/>
                <w:shd w:val="clear" w:color="auto" w:fill="FFFFFF"/>
              </w:rPr>
              <w:t xml:space="preserve">Renata </w:t>
            </w:r>
            <w:proofErr w:type="spellStart"/>
            <w:r w:rsidRPr="00B34608">
              <w:rPr>
                <w:color w:val="000000"/>
                <w:szCs w:val="22"/>
                <w:shd w:val="clear" w:color="auto" w:fill="FFFFFF"/>
              </w:rPr>
              <w:t>Bagdonienė</w:t>
            </w:r>
            <w:proofErr w:type="spellEnd"/>
            <w:r w:rsidRPr="00B34608">
              <w:rPr>
                <w:color w:val="000000"/>
                <w:szCs w:val="22"/>
                <w:shd w:val="clear" w:color="auto" w:fill="FFFFFF"/>
              </w:rPr>
              <w:t xml:space="preserve">, </w:t>
            </w:r>
            <w:r>
              <w:t xml:space="preserve">Director of Financial Services and Markets Supervision Department of the Supervision Service of the Bank of </w:t>
            </w:r>
            <w:smartTag w:uri="urn:schemas-microsoft-com:office:smarttags" w:element="Street">
              <w:smartTag w:uri="urn:schemas-microsoft-com:office:smarttags" w:element="place">
                <w:smartTag w:uri="urn:schemas-microsoft-com:office:smarttags" w:element="country-region">
                  <w:r>
                    <w:t>Lithuania</w:t>
                  </w:r>
                </w:smartTag>
              </w:smartTag>
            </w:smartTag>
            <w:r w:rsidRPr="00B34608">
              <w:rPr>
                <w:color w:val="000000"/>
                <w:szCs w:val="22"/>
                <w:shd w:val="clear" w:color="auto" w:fill="FFFFFF"/>
              </w:rPr>
              <w:t>;</w:t>
            </w:r>
          </w:p>
        </w:tc>
      </w:tr>
      <w:tr w:rsidR="00D2569B" w:rsidRPr="00B34608" w:rsidTr="00FE4ABE">
        <w:trPr>
          <w:gridAfter w:val="1"/>
          <w:wAfter w:w="172" w:type="dxa"/>
          <w:trHeight w:val="113"/>
        </w:trPr>
        <w:tc>
          <w:tcPr>
            <w:tcW w:w="3227" w:type="dxa"/>
          </w:tcPr>
          <w:p w:rsidR="00D2569B" w:rsidRPr="00B34608" w:rsidRDefault="00D2569B" w:rsidP="00FE4ABE">
            <w:pPr>
              <w:spacing w:line="360" w:lineRule="auto"/>
              <w:rPr>
                <w:color w:val="000000"/>
                <w:szCs w:val="22"/>
                <w:shd w:val="clear" w:color="auto" w:fill="FFFFFF"/>
              </w:rPr>
            </w:pPr>
          </w:p>
        </w:tc>
        <w:tc>
          <w:tcPr>
            <w:tcW w:w="5670" w:type="dxa"/>
            <w:gridSpan w:val="4"/>
          </w:tcPr>
          <w:p w:rsidR="00D2569B" w:rsidRPr="00B34608" w:rsidRDefault="00D2569B" w:rsidP="00FE4ABE">
            <w:pPr>
              <w:spacing w:line="360" w:lineRule="auto"/>
              <w:jc w:val="both"/>
              <w:rPr>
                <w:color w:val="000000"/>
                <w:szCs w:val="22"/>
                <w:shd w:val="clear" w:color="auto" w:fill="FFFFFF"/>
              </w:rPr>
            </w:pPr>
            <w:r w:rsidRPr="00B34608">
              <w:rPr>
                <w:color w:val="000000"/>
                <w:szCs w:val="22"/>
                <w:shd w:val="clear" w:color="auto" w:fill="FFFFFF"/>
              </w:rPr>
              <w:t xml:space="preserve">Gediminas Šimkus, </w:t>
            </w:r>
            <w:r>
              <w:rPr>
                <w:color w:val="000000"/>
                <w:szCs w:val="22"/>
                <w:shd w:val="clear" w:color="auto" w:fill="FFFFFF"/>
              </w:rPr>
              <w:t>D</w:t>
            </w:r>
            <w:r>
              <w:t xml:space="preserve">irector of Economics and Financial Stability Service of the Bank of </w:t>
            </w:r>
            <w:smartTag w:uri="urn:schemas-microsoft-com:office:smarttags" w:element="Street">
              <w:smartTag w:uri="urn:schemas-microsoft-com:office:smarttags" w:element="place">
                <w:smartTag w:uri="urn:schemas-microsoft-com:office:smarttags" w:element="country-region">
                  <w:r>
                    <w:t>Lithuania</w:t>
                  </w:r>
                </w:smartTag>
              </w:smartTag>
            </w:smartTag>
            <w:r w:rsidRPr="00B34608">
              <w:rPr>
                <w:color w:val="000000"/>
                <w:szCs w:val="22"/>
                <w:shd w:val="clear" w:color="auto" w:fill="FFFFFF"/>
              </w:rPr>
              <w:t>;</w:t>
            </w:r>
          </w:p>
        </w:tc>
      </w:tr>
      <w:tr w:rsidR="00D2569B" w:rsidRPr="00B34608" w:rsidTr="00FE4ABE">
        <w:trPr>
          <w:gridAfter w:val="1"/>
          <w:wAfter w:w="172" w:type="dxa"/>
          <w:trHeight w:val="113"/>
        </w:trPr>
        <w:tc>
          <w:tcPr>
            <w:tcW w:w="3227" w:type="dxa"/>
          </w:tcPr>
          <w:p w:rsidR="00D2569B" w:rsidRPr="00B34608" w:rsidRDefault="00D2569B" w:rsidP="00FE4ABE">
            <w:pPr>
              <w:spacing w:line="360" w:lineRule="auto"/>
              <w:rPr>
                <w:color w:val="000000"/>
                <w:szCs w:val="22"/>
                <w:shd w:val="clear" w:color="auto" w:fill="FFFFFF"/>
              </w:rPr>
            </w:pPr>
            <w:r w:rsidRPr="00F33D93">
              <w:rPr>
                <w:szCs w:val="22"/>
              </w:rPr>
              <w:t>Dire</w:t>
            </w:r>
            <w:r>
              <w:rPr>
                <w:szCs w:val="22"/>
              </w:rPr>
              <w:t>ctor</w:t>
            </w:r>
            <w:r>
              <w:rPr>
                <w:color w:val="000000"/>
                <w:szCs w:val="22"/>
                <w:shd w:val="clear" w:color="auto" w:fill="FFFFFF"/>
              </w:rPr>
              <w:t xml:space="preserve"> of the Company</w:t>
            </w:r>
            <w:r w:rsidRPr="00B34608">
              <w:rPr>
                <w:color w:val="000000"/>
                <w:szCs w:val="22"/>
                <w:shd w:val="clear" w:color="auto" w:fill="FFFFFF"/>
              </w:rPr>
              <w:t>:</w:t>
            </w:r>
            <w:r w:rsidRPr="00B34608">
              <w:rPr>
                <w:color w:val="000000"/>
                <w:szCs w:val="22"/>
                <w:shd w:val="clear" w:color="auto" w:fill="FFFFFF"/>
              </w:rPr>
              <w:tab/>
            </w:r>
          </w:p>
          <w:p w:rsidR="00D2569B" w:rsidRPr="00B34608" w:rsidRDefault="00D2569B" w:rsidP="00FE4ABE">
            <w:pPr>
              <w:spacing w:line="360" w:lineRule="auto"/>
              <w:rPr>
                <w:color w:val="000000"/>
                <w:szCs w:val="22"/>
                <w:shd w:val="clear" w:color="auto" w:fill="FFFFFF"/>
              </w:rPr>
            </w:pPr>
            <w:r w:rsidRPr="00B34608">
              <w:rPr>
                <w:color w:val="000000"/>
                <w:szCs w:val="22"/>
                <w:shd w:val="clear" w:color="auto" w:fill="FFFFFF"/>
              </w:rPr>
              <w:t xml:space="preserve">Bank:                                                          </w:t>
            </w:r>
          </w:p>
        </w:tc>
        <w:tc>
          <w:tcPr>
            <w:tcW w:w="5670" w:type="dxa"/>
            <w:gridSpan w:val="4"/>
          </w:tcPr>
          <w:p w:rsidR="00D2569B" w:rsidRPr="00B34608" w:rsidRDefault="00D2569B" w:rsidP="00FE4ABE">
            <w:pPr>
              <w:tabs>
                <w:tab w:val="center" w:pos="1276"/>
              </w:tabs>
              <w:spacing w:line="360" w:lineRule="auto"/>
              <w:jc w:val="both"/>
              <w:rPr>
                <w:color w:val="000000"/>
                <w:szCs w:val="22"/>
                <w:shd w:val="clear" w:color="auto" w:fill="FFFFFF"/>
              </w:rPr>
            </w:pPr>
            <w:r w:rsidRPr="00B34608">
              <w:rPr>
                <w:color w:val="000000"/>
                <w:szCs w:val="22"/>
                <w:shd w:val="clear" w:color="auto" w:fill="FFFFFF"/>
              </w:rPr>
              <w:t>Aurelija Mažintienė.</w:t>
            </w:r>
          </w:p>
          <w:p w:rsidR="00D2569B" w:rsidRPr="00B34608" w:rsidRDefault="00D2569B" w:rsidP="00FE4ABE">
            <w:pPr>
              <w:tabs>
                <w:tab w:val="center" w:pos="1276"/>
              </w:tabs>
              <w:spacing w:line="360" w:lineRule="auto"/>
              <w:jc w:val="both"/>
              <w:rPr>
                <w:color w:val="000000"/>
                <w:szCs w:val="22"/>
                <w:shd w:val="clear" w:color="auto" w:fill="FFFFFF"/>
              </w:rPr>
            </w:pPr>
            <w:r w:rsidRPr="00B34608">
              <w:rPr>
                <w:color w:val="000000"/>
                <w:szCs w:val="22"/>
                <w:shd w:val="clear" w:color="auto" w:fill="FFFFFF"/>
              </w:rPr>
              <w:t xml:space="preserve">AB </w:t>
            </w:r>
            <w:proofErr w:type="spellStart"/>
            <w:r w:rsidRPr="00B34608">
              <w:rPr>
                <w:color w:val="000000"/>
                <w:szCs w:val="22"/>
                <w:shd w:val="clear" w:color="auto" w:fill="FFFFFF"/>
              </w:rPr>
              <w:t>Luminor</w:t>
            </w:r>
            <w:proofErr w:type="spellEnd"/>
            <w:r w:rsidRPr="00B34608">
              <w:rPr>
                <w:color w:val="000000"/>
                <w:szCs w:val="22"/>
                <w:shd w:val="clear" w:color="auto" w:fill="FFFFFF"/>
              </w:rPr>
              <w:t xml:space="preserve"> bank</w:t>
            </w:r>
          </w:p>
        </w:tc>
      </w:tr>
      <w:tr w:rsidR="00D2569B" w:rsidRPr="00B34608" w:rsidTr="00FE4ABE">
        <w:trPr>
          <w:gridAfter w:val="2"/>
          <w:wAfter w:w="511" w:type="dxa"/>
        </w:trPr>
        <w:tc>
          <w:tcPr>
            <w:tcW w:w="4928" w:type="dxa"/>
            <w:gridSpan w:val="2"/>
          </w:tcPr>
          <w:p w:rsidR="00D2569B" w:rsidRPr="00B34608" w:rsidRDefault="00D2569B" w:rsidP="00CA2BCD">
            <w:pPr>
              <w:rPr>
                <w:b/>
                <w:i/>
                <w:sz w:val="18"/>
                <w:szCs w:val="18"/>
              </w:rPr>
            </w:pPr>
          </w:p>
        </w:tc>
        <w:tc>
          <w:tcPr>
            <w:tcW w:w="3630" w:type="dxa"/>
            <w:gridSpan w:val="2"/>
          </w:tcPr>
          <w:p w:rsidR="00D2569B" w:rsidRPr="00B34608" w:rsidRDefault="00D2569B" w:rsidP="00FE4ABE">
            <w:pPr>
              <w:ind w:firstLine="459"/>
              <w:rPr>
                <w:sz w:val="18"/>
                <w:szCs w:val="18"/>
              </w:rPr>
            </w:pPr>
          </w:p>
        </w:tc>
      </w:tr>
      <w:tr w:rsidR="00D2569B" w:rsidRPr="00B34608" w:rsidTr="00FE4ABE">
        <w:tc>
          <w:tcPr>
            <w:tcW w:w="5439" w:type="dxa"/>
            <w:gridSpan w:val="3"/>
          </w:tcPr>
          <w:p w:rsidR="00D2569B" w:rsidRPr="00B34608" w:rsidRDefault="00D2569B" w:rsidP="00196154">
            <w:pPr>
              <w:rPr>
                <w:sz w:val="18"/>
                <w:szCs w:val="18"/>
              </w:rPr>
            </w:pPr>
          </w:p>
        </w:tc>
        <w:tc>
          <w:tcPr>
            <w:tcW w:w="3630" w:type="dxa"/>
            <w:gridSpan w:val="3"/>
          </w:tcPr>
          <w:p w:rsidR="00D2569B" w:rsidRPr="00B34608" w:rsidRDefault="00D2569B" w:rsidP="00FE4ABE">
            <w:pPr>
              <w:ind w:left="231"/>
              <w:rPr>
                <w:sz w:val="18"/>
                <w:szCs w:val="18"/>
              </w:rPr>
            </w:pPr>
          </w:p>
        </w:tc>
      </w:tr>
    </w:tbl>
    <w:p w:rsidR="00D2569B" w:rsidRPr="00B34608" w:rsidRDefault="00D2569B" w:rsidP="00196154">
      <w:pPr>
        <w:spacing w:line="360" w:lineRule="auto"/>
        <w:jc w:val="center"/>
        <w:rPr>
          <w:b/>
          <w:szCs w:val="22"/>
        </w:rPr>
      </w:pPr>
    </w:p>
    <w:p w:rsidR="00D2569B" w:rsidRPr="00B34608" w:rsidRDefault="00D2569B" w:rsidP="00196154">
      <w:pPr>
        <w:spacing w:line="360" w:lineRule="auto"/>
        <w:jc w:val="center"/>
        <w:rPr>
          <w:b/>
          <w:szCs w:val="22"/>
        </w:rPr>
      </w:pPr>
    </w:p>
    <w:p w:rsidR="00D2569B" w:rsidRPr="00B34608" w:rsidRDefault="00D2569B" w:rsidP="00196154">
      <w:pPr>
        <w:spacing w:line="360" w:lineRule="auto"/>
        <w:jc w:val="center"/>
        <w:rPr>
          <w:b/>
          <w:szCs w:val="22"/>
        </w:rPr>
      </w:pPr>
    </w:p>
    <w:p w:rsidR="00D2569B" w:rsidRPr="00B34608" w:rsidRDefault="00D2569B" w:rsidP="00196154">
      <w:pPr>
        <w:spacing w:line="360" w:lineRule="auto"/>
        <w:jc w:val="center"/>
        <w:rPr>
          <w:b/>
          <w:szCs w:val="22"/>
        </w:rPr>
      </w:pPr>
    </w:p>
    <w:p w:rsidR="00D2569B" w:rsidRPr="00B34608" w:rsidRDefault="00D2569B" w:rsidP="00196154">
      <w:pPr>
        <w:spacing w:line="360" w:lineRule="auto"/>
        <w:jc w:val="center"/>
        <w:rPr>
          <w:b/>
          <w:szCs w:val="22"/>
        </w:rPr>
      </w:pPr>
    </w:p>
    <w:p w:rsidR="00D2569B" w:rsidRPr="00B34608" w:rsidRDefault="00D2569B" w:rsidP="00196154">
      <w:pPr>
        <w:spacing w:line="360" w:lineRule="auto"/>
        <w:jc w:val="center"/>
        <w:rPr>
          <w:b/>
          <w:szCs w:val="22"/>
        </w:rPr>
      </w:pPr>
    </w:p>
    <w:p w:rsidR="00D2569B" w:rsidRPr="00B34608" w:rsidRDefault="00D2569B" w:rsidP="00196154">
      <w:pPr>
        <w:spacing w:line="360" w:lineRule="auto"/>
        <w:jc w:val="center"/>
        <w:rPr>
          <w:b/>
          <w:szCs w:val="22"/>
        </w:rPr>
      </w:pPr>
    </w:p>
    <w:p w:rsidR="00D2569B" w:rsidRPr="00B34608" w:rsidRDefault="00D2569B" w:rsidP="00196154">
      <w:pPr>
        <w:spacing w:line="360" w:lineRule="auto"/>
        <w:jc w:val="center"/>
        <w:rPr>
          <w:b/>
          <w:szCs w:val="22"/>
        </w:rPr>
      </w:pPr>
    </w:p>
    <w:p w:rsidR="00D2569B" w:rsidRPr="00B34608" w:rsidRDefault="00D2569B" w:rsidP="00196154">
      <w:pPr>
        <w:spacing w:line="360" w:lineRule="auto"/>
        <w:jc w:val="center"/>
        <w:rPr>
          <w:b/>
          <w:szCs w:val="22"/>
        </w:rPr>
      </w:pPr>
    </w:p>
    <w:p w:rsidR="00D2569B" w:rsidRPr="00B34608" w:rsidRDefault="00D2569B" w:rsidP="004635E1">
      <w:pPr>
        <w:spacing w:line="360" w:lineRule="auto"/>
        <w:rPr>
          <w:b/>
          <w:szCs w:val="22"/>
        </w:rPr>
      </w:pPr>
    </w:p>
    <w:p w:rsidR="00D2569B" w:rsidRPr="00B34608" w:rsidRDefault="00D2569B" w:rsidP="00196154">
      <w:pPr>
        <w:spacing w:line="360" w:lineRule="auto"/>
        <w:jc w:val="center"/>
        <w:rPr>
          <w:b/>
          <w:sz w:val="24"/>
          <w:szCs w:val="24"/>
        </w:rPr>
      </w:pPr>
      <w:r>
        <w:rPr>
          <w:b/>
          <w:sz w:val="24"/>
          <w:szCs w:val="24"/>
        </w:rPr>
        <w:t>DEPOSIT INSURANCE FUND</w:t>
      </w:r>
    </w:p>
    <w:p w:rsidR="00D2569B" w:rsidRPr="00B34608" w:rsidRDefault="00D2569B" w:rsidP="00A67CBB">
      <w:pPr>
        <w:spacing w:line="276" w:lineRule="auto"/>
        <w:jc w:val="center"/>
        <w:rPr>
          <w:szCs w:val="22"/>
        </w:rPr>
      </w:pPr>
      <w:r w:rsidRPr="00B34608">
        <w:rPr>
          <w:szCs w:val="22"/>
        </w:rPr>
        <w:t>Administrator</w:t>
      </w:r>
      <w:r>
        <w:rPr>
          <w:szCs w:val="22"/>
        </w:rPr>
        <w:t xml:space="preserve"> –</w:t>
      </w:r>
      <w:r w:rsidRPr="00B34608">
        <w:rPr>
          <w:szCs w:val="22"/>
        </w:rPr>
        <w:t xml:space="preserve"> </w:t>
      </w:r>
      <w:r w:rsidRPr="004B39D2">
        <w:rPr>
          <w:bCs/>
          <w:szCs w:val="22"/>
        </w:rPr>
        <w:t xml:space="preserve">SC </w:t>
      </w:r>
      <w:r w:rsidR="00131887" w:rsidRPr="00131887">
        <w:t>„</w:t>
      </w:r>
      <w:r w:rsidRPr="004B39D2">
        <w:rPr>
          <w:bCs/>
          <w:szCs w:val="22"/>
        </w:rPr>
        <w:t>Indėlių ir investicijų draudimas</w:t>
      </w:r>
      <w:r w:rsidR="00131887">
        <w:rPr>
          <w:bCs/>
          <w:szCs w:val="22"/>
        </w:rPr>
        <w:t>”</w:t>
      </w:r>
      <w:r>
        <w:rPr>
          <w:szCs w:val="22"/>
        </w:rPr>
        <w:t>, corporate code</w:t>
      </w:r>
      <w:r w:rsidRPr="00B34608">
        <w:rPr>
          <w:szCs w:val="22"/>
        </w:rPr>
        <w:t xml:space="preserve"> 110069451</w:t>
      </w:r>
    </w:p>
    <w:p w:rsidR="00D2569B" w:rsidRPr="00B34608" w:rsidRDefault="00D2569B" w:rsidP="00A67CBB">
      <w:pPr>
        <w:spacing w:line="276" w:lineRule="auto"/>
        <w:jc w:val="center"/>
        <w:rPr>
          <w:szCs w:val="22"/>
        </w:rPr>
      </w:pPr>
      <w:proofErr w:type="spellStart"/>
      <w:r w:rsidRPr="00B34608">
        <w:rPr>
          <w:szCs w:val="22"/>
        </w:rPr>
        <w:t>Alg</w:t>
      </w:r>
      <w:r>
        <w:rPr>
          <w:szCs w:val="22"/>
        </w:rPr>
        <w:t>irdo</w:t>
      </w:r>
      <w:proofErr w:type="spellEnd"/>
      <w:r>
        <w:rPr>
          <w:szCs w:val="22"/>
        </w:rPr>
        <w:t xml:space="preserve"> g. 31, LT-03219 Vilnius, data collected and stored in the Register of Legal Entities </w:t>
      </w:r>
    </w:p>
    <w:p w:rsidR="00D2569B" w:rsidRPr="00B34608" w:rsidRDefault="00D2569B" w:rsidP="00A67CBB">
      <w:pPr>
        <w:spacing w:line="276" w:lineRule="auto"/>
        <w:jc w:val="center"/>
        <w:rPr>
          <w:szCs w:val="22"/>
        </w:rPr>
      </w:pPr>
    </w:p>
    <w:p w:rsidR="00D2569B" w:rsidRDefault="00D2569B" w:rsidP="00A67CBB">
      <w:pPr>
        <w:spacing w:line="276" w:lineRule="auto"/>
        <w:jc w:val="center"/>
        <w:rPr>
          <w:b/>
          <w:szCs w:val="22"/>
        </w:rPr>
      </w:pPr>
      <w:r>
        <w:rPr>
          <w:b/>
          <w:szCs w:val="22"/>
        </w:rPr>
        <w:t>STATEMENT OF FINANCIAL POSITION</w:t>
      </w:r>
    </w:p>
    <w:p w:rsidR="00D2569B" w:rsidRPr="00B34608" w:rsidRDefault="00D2569B" w:rsidP="004635E1">
      <w:pPr>
        <w:spacing w:line="276" w:lineRule="auto"/>
        <w:jc w:val="center"/>
        <w:rPr>
          <w:b/>
          <w:color w:val="000000"/>
          <w:szCs w:val="22"/>
          <w:shd w:val="clear" w:color="auto" w:fill="FFFFFF"/>
        </w:rPr>
      </w:pPr>
      <w:r>
        <w:rPr>
          <w:b/>
          <w:szCs w:val="22"/>
        </w:rPr>
        <w:t xml:space="preserve">31 DECEMBER </w:t>
      </w:r>
      <w:r w:rsidRPr="00B34608">
        <w:rPr>
          <w:b/>
          <w:szCs w:val="22"/>
        </w:rPr>
        <w:t>2017</w:t>
      </w:r>
    </w:p>
    <w:p w:rsidR="00D2569B" w:rsidRPr="00B34608" w:rsidRDefault="00D2569B" w:rsidP="00196154">
      <w:pPr>
        <w:tabs>
          <w:tab w:val="left" w:pos="0"/>
        </w:tabs>
        <w:jc w:val="center"/>
        <w:rPr>
          <w:sz w:val="20"/>
        </w:rPr>
      </w:pPr>
    </w:p>
    <w:p w:rsidR="00D2569B" w:rsidRPr="00B34608" w:rsidRDefault="00D2569B" w:rsidP="00196154">
      <w:pPr>
        <w:spacing w:line="360" w:lineRule="auto"/>
        <w:jc w:val="center"/>
        <w:rPr>
          <w:sz w:val="20"/>
        </w:rPr>
      </w:pPr>
      <w:r>
        <w:rPr>
          <w:sz w:val="20"/>
        </w:rPr>
        <w:t xml:space="preserve">29 January </w:t>
      </w:r>
      <w:r w:rsidRPr="00B34608">
        <w:rPr>
          <w:sz w:val="20"/>
        </w:rPr>
        <w:t xml:space="preserve">2018 </w:t>
      </w:r>
    </w:p>
    <w:p w:rsidR="00D2569B" w:rsidRPr="00B34608" w:rsidRDefault="00D2569B" w:rsidP="00196154">
      <w:pPr>
        <w:spacing w:line="360" w:lineRule="auto"/>
        <w:jc w:val="center"/>
        <w:rPr>
          <w:sz w:val="20"/>
        </w:rPr>
      </w:pPr>
    </w:p>
    <w:p w:rsidR="00D2569B" w:rsidRPr="00B34608" w:rsidRDefault="00D2569B" w:rsidP="00A67CBB">
      <w:r w:rsidRPr="00B34608">
        <w:rPr>
          <w:i/>
          <w:iCs/>
          <w:sz w:val="20"/>
        </w:rPr>
        <w:t xml:space="preserve">2017                                                                                                   </w:t>
      </w:r>
      <w:r>
        <w:rPr>
          <w:i/>
          <w:iCs/>
          <w:sz w:val="20"/>
        </w:rPr>
        <w:t>Presentation currency and accuracy: EUR</w:t>
      </w:r>
    </w:p>
    <w:tbl>
      <w:tblPr>
        <w:tblW w:w="10065" w:type="dxa"/>
        <w:tblInd w:w="-743" w:type="dxa"/>
        <w:tblLayout w:type="fixed"/>
        <w:tblLook w:val="00A0" w:firstRow="1" w:lastRow="0" w:firstColumn="1" w:lastColumn="0" w:noHBand="0" w:noVBand="0"/>
      </w:tblPr>
      <w:tblGrid>
        <w:gridCol w:w="880"/>
        <w:gridCol w:w="2622"/>
        <w:gridCol w:w="2405"/>
        <w:gridCol w:w="1040"/>
        <w:gridCol w:w="28"/>
        <w:gridCol w:w="1418"/>
        <w:gridCol w:w="1672"/>
      </w:tblGrid>
      <w:tr w:rsidR="00D2569B" w:rsidRPr="00B34608" w:rsidTr="00AF6079">
        <w:trPr>
          <w:trHeight w:val="57"/>
        </w:trPr>
        <w:tc>
          <w:tcPr>
            <w:tcW w:w="880"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b/>
                <w:bCs/>
                <w:sz w:val="20"/>
              </w:rPr>
            </w:pPr>
            <w:r>
              <w:rPr>
                <w:b/>
                <w:bCs/>
                <w:sz w:val="20"/>
              </w:rPr>
              <w:t>Seq. No</w:t>
            </w:r>
          </w:p>
        </w:tc>
        <w:tc>
          <w:tcPr>
            <w:tcW w:w="5027" w:type="dxa"/>
            <w:gridSpan w:val="2"/>
            <w:tcBorders>
              <w:top w:val="single" w:sz="4" w:space="0" w:color="auto"/>
              <w:left w:val="nil"/>
              <w:bottom w:val="single" w:sz="4" w:space="0" w:color="auto"/>
              <w:right w:val="single" w:sz="4" w:space="0" w:color="000000"/>
            </w:tcBorders>
            <w:noWrap/>
            <w:vAlign w:val="center"/>
          </w:tcPr>
          <w:p w:rsidR="00D2569B" w:rsidRPr="00B34608" w:rsidRDefault="00D2569B" w:rsidP="004A089E">
            <w:pPr>
              <w:spacing w:line="276" w:lineRule="auto"/>
              <w:jc w:val="center"/>
              <w:rPr>
                <w:b/>
                <w:bCs/>
                <w:sz w:val="20"/>
              </w:rPr>
            </w:pPr>
            <w:r>
              <w:rPr>
                <w:b/>
                <w:bCs/>
                <w:sz w:val="20"/>
              </w:rPr>
              <w:t>Items</w:t>
            </w:r>
          </w:p>
        </w:tc>
        <w:tc>
          <w:tcPr>
            <w:tcW w:w="1068" w:type="dxa"/>
            <w:gridSpan w:val="2"/>
            <w:tcBorders>
              <w:top w:val="single" w:sz="4" w:space="0" w:color="auto"/>
              <w:left w:val="nil"/>
              <w:bottom w:val="single" w:sz="4" w:space="0" w:color="auto"/>
              <w:right w:val="nil"/>
            </w:tcBorders>
            <w:vAlign w:val="center"/>
          </w:tcPr>
          <w:p w:rsidR="00D2569B" w:rsidRPr="00B34608" w:rsidRDefault="00D2569B" w:rsidP="004A089E">
            <w:pPr>
              <w:spacing w:line="276" w:lineRule="auto"/>
              <w:jc w:val="center"/>
              <w:rPr>
                <w:b/>
                <w:bCs/>
                <w:sz w:val="20"/>
              </w:rPr>
            </w:pPr>
            <w:r>
              <w:rPr>
                <w:b/>
                <w:bCs/>
                <w:sz w:val="20"/>
              </w:rPr>
              <w:t>Note No</w:t>
            </w:r>
          </w:p>
        </w:tc>
        <w:tc>
          <w:tcPr>
            <w:tcW w:w="1418"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b/>
                <w:bCs/>
                <w:sz w:val="20"/>
              </w:rPr>
            </w:pPr>
            <w:r>
              <w:rPr>
                <w:b/>
                <w:bCs/>
                <w:sz w:val="20"/>
              </w:rPr>
              <w:t xml:space="preserve">31 12 </w:t>
            </w:r>
            <w:r w:rsidRPr="00B34608">
              <w:rPr>
                <w:b/>
                <w:bCs/>
                <w:sz w:val="20"/>
              </w:rPr>
              <w:t>2017</w:t>
            </w:r>
          </w:p>
        </w:tc>
        <w:tc>
          <w:tcPr>
            <w:tcW w:w="1672" w:type="dxa"/>
            <w:tcBorders>
              <w:top w:val="single" w:sz="4" w:space="0" w:color="auto"/>
              <w:left w:val="nil"/>
              <w:bottom w:val="single" w:sz="4" w:space="0" w:color="auto"/>
              <w:right w:val="single" w:sz="4" w:space="0" w:color="auto"/>
            </w:tcBorders>
            <w:vAlign w:val="center"/>
          </w:tcPr>
          <w:p w:rsidR="00D2569B" w:rsidRPr="00B34608" w:rsidRDefault="00D2569B" w:rsidP="00A67CBB">
            <w:pPr>
              <w:spacing w:line="276" w:lineRule="auto"/>
              <w:jc w:val="center"/>
              <w:rPr>
                <w:b/>
                <w:bCs/>
                <w:sz w:val="20"/>
              </w:rPr>
            </w:pPr>
            <w:r>
              <w:rPr>
                <w:b/>
                <w:bCs/>
                <w:sz w:val="20"/>
              </w:rPr>
              <w:t xml:space="preserve">31 12 </w:t>
            </w:r>
            <w:r w:rsidRPr="00B34608">
              <w:rPr>
                <w:b/>
                <w:bCs/>
                <w:sz w:val="20"/>
              </w:rPr>
              <w:t>2016</w:t>
            </w:r>
          </w:p>
        </w:tc>
      </w:tr>
      <w:tr w:rsidR="00D2569B" w:rsidRPr="00B34608" w:rsidTr="00AF6079">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b/>
                <w:bCs/>
                <w:sz w:val="20"/>
              </w:rPr>
            </w:pPr>
            <w:r w:rsidRPr="00B34608">
              <w:rPr>
                <w:b/>
                <w:bCs/>
                <w:sz w:val="20"/>
              </w:rPr>
              <w:t>A.</w:t>
            </w:r>
          </w:p>
        </w:tc>
        <w:tc>
          <w:tcPr>
            <w:tcW w:w="2622" w:type="dxa"/>
            <w:tcBorders>
              <w:top w:val="single" w:sz="4" w:space="0" w:color="auto"/>
              <w:left w:val="single" w:sz="4" w:space="0" w:color="auto"/>
              <w:bottom w:val="single" w:sz="4" w:space="0" w:color="auto"/>
            </w:tcBorders>
            <w:noWrap/>
            <w:vAlign w:val="center"/>
          </w:tcPr>
          <w:p w:rsidR="00D2569B" w:rsidRPr="00B34608" w:rsidRDefault="00D2569B" w:rsidP="004A089E">
            <w:pPr>
              <w:spacing w:line="276" w:lineRule="auto"/>
              <w:rPr>
                <w:b/>
                <w:bCs/>
                <w:sz w:val="20"/>
              </w:rPr>
            </w:pPr>
            <w:r>
              <w:rPr>
                <w:b/>
                <w:bCs/>
                <w:sz w:val="20"/>
              </w:rPr>
              <w:t>FIXED ASSETS</w:t>
            </w:r>
          </w:p>
        </w:tc>
        <w:tc>
          <w:tcPr>
            <w:tcW w:w="2405" w:type="dxa"/>
            <w:tcBorders>
              <w:top w:val="single" w:sz="4" w:space="0" w:color="auto"/>
              <w:bottom w:val="single" w:sz="4" w:space="0" w:color="auto"/>
              <w:right w:val="single" w:sz="4" w:space="0" w:color="auto"/>
            </w:tcBorders>
            <w:vAlign w:val="center"/>
          </w:tcPr>
          <w:p w:rsidR="00D2569B" w:rsidRPr="00B34608" w:rsidRDefault="00D2569B" w:rsidP="004A089E">
            <w:pPr>
              <w:spacing w:line="276" w:lineRule="auto"/>
              <w:rPr>
                <w:b/>
                <w:bCs/>
                <w:sz w:val="20"/>
              </w:rPr>
            </w:pPr>
            <w:r w:rsidRPr="00B34608">
              <w:rPr>
                <w:b/>
                <w:bCs/>
                <w:sz w:val="20"/>
              </w:rPr>
              <w:t> </w:t>
            </w:r>
          </w:p>
        </w:tc>
        <w:tc>
          <w:tcPr>
            <w:tcW w:w="1068" w:type="dxa"/>
            <w:gridSpan w:val="2"/>
            <w:tcBorders>
              <w:top w:val="nil"/>
              <w:left w:val="single" w:sz="4" w:space="0" w:color="auto"/>
              <w:bottom w:val="single" w:sz="4" w:space="0" w:color="auto"/>
              <w:right w:val="nil"/>
            </w:tcBorders>
            <w:vAlign w:val="center"/>
          </w:tcPr>
          <w:p w:rsidR="00D2569B" w:rsidRPr="00B34608" w:rsidRDefault="00D2569B" w:rsidP="004A089E">
            <w:pPr>
              <w:spacing w:line="276" w:lineRule="auto"/>
              <w:rPr>
                <w:sz w:val="20"/>
              </w:rPr>
            </w:pPr>
            <w:r w:rsidRPr="00B34608">
              <w:rPr>
                <w:sz w:val="20"/>
              </w:rPr>
              <w:t> </w:t>
            </w:r>
          </w:p>
        </w:tc>
        <w:tc>
          <w:tcPr>
            <w:tcW w:w="1418" w:type="dxa"/>
            <w:tcBorders>
              <w:top w:val="nil"/>
              <w:left w:val="single" w:sz="4" w:space="0" w:color="auto"/>
              <w:bottom w:val="single" w:sz="4" w:space="0" w:color="auto"/>
              <w:right w:val="single" w:sz="4" w:space="0" w:color="auto"/>
            </w:tcBorders>
            <w:vAlign w:val="center"/>
          </w:tcPr>
          <w:p w:rsidR="00D2569B" w:rsidRPr="00B34608" w:rsidRDefault="00D2569B" w:rsidP="002C0C47">
            <w:pPr>
              <w:spacing w:line="276" w:lineRule="auto"/>
              <w:jc w:val="right"/>
              <w:rPr>
                <w:b/>
                <w:bCs/>
                <w:sz w:val="20"/>
              </w:rPr>
            </w:pPr>
            <w:r w:rsidRPr="00B34608">
              <w:rPr>
                <w:b/>
                <w:bCs/>
                <w:sz w:val="20"/>
              </w:rPr>
              <w:t>130</w:t>
            </w:r>
            <w:r>
              <w:rPr>
                <w:b/>
                <w:bCs/>
                <w:sz w:val="20"/>
              </w:rPr>
              <w:t>,</w:t>
            </w:r>
            <w:r w:rsidRPr="00B34608">
              <w:rPr>
                <w:b/>
                <w:bCs/>
                <w:sz w:val="20"/>
              </w:rPr>
              <w:t>839</w:t>
            </w:r>
            <w:r>
              <w:rPr>
                <w:b/>
                <w:bCs/>
                <w:sz w:val="20"/>
              </w:rPr>
              <w:t>,</w:t>
            </w:r>
            <w:r w:rsidRPr="00B34608">
              <w:rPr>
                <w:b/>
                <w:bCs/>
                <w:sz w:val="20"/>
              </w:rPr>
              <w:t>800</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b/>
                <w:bCs/>
                <w:sz w:val="20"/>
              </w:rPr>
            </w:pPr>
            <w:r w:rsidRPr="00B34608">
              <w:rPr>
                <w:b/>
                <w:bCs/>
                <w:sz w:val="20"/>
              </w:rPr>
              <w:t>115</w:t>
            </w:r>
            <w:r>
              <w:rPr>
                <w:b/>
                <w:bCs/>
                <w:sz w:val="20"/>
              </w:rPr>
              <w:t>,</w:t>
            </w:r>
            <w:r w:rsidRPr="00B34608">
              <w:rPr>
                <w:b/>
                <w:bCs/>
                <w:sz w:val="20"/>
              </w:rPr>
              <w:t>840</w:t>
            </w:r>
            <w:r>
              <w:rPr>
                <w:b/>
                <w:bCs/>
                <w:sz w:val="20"/>
              </w:rPr>
              <w:t>,</w:t>
            </w:r>
            <w:r w:rsidRPr="00B34608">
              <w:rPr>
                <w:b/>
                <w:bCs/>
                <w:sz w:val="20"/>
              </w:rPr>
              <w:t>000</w:t>
            </w:r>
          </w:p>
        </w:tc>
      </w:tr>
      <w:tr w:rsidR="00D2569B" w:rsidRPr="00B34608" w:rsidTr="00AF6079">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sz w:val="20"/>
              </w:rPr>
            </w:pPr>
            <w:r w:rsidRPr="00B34608">
              <w:rPr>
                <w:sz w:val="20"/>
              </w:rPr>
              <w:t>I.</w:t>
            </w:r>
          </w:p>
        </w:tc>
        <w:tc>
          <w:tcPr>
            <w:tcW w:w="2622" w:type="dxa"/>
            <w:tcBorders>
              <w:top w:val="single" w:sz="4" w:space="0" w:color="auto"/>
              <w:left w:val="single" w:sz="4" w:space="0" w:color="auto"/>
              <w:bottom w:val="single" w:sz="4" w:space="0" w:color="auto"/>
            </w:tcBorders>
            <w:noWrap/>
            <w:vAlign w:val="center"/>
          </w:tcPr>
          <w:p w:rsidR="00D2569B" w:rsidRPr="00B34608" w:rsidRDefault="00D2569B" w:rsidP="004A089E">
            <w:pPr>
              <w:spacing w:line="276" w:lineRule="auto"/>
              <w:rPr>
                <w:sz w:val="20"/>
              </w:rPr>
            </w:pPr>
            <w:r>
              <w:rPr>
                <w:sz w:val="20"/>
              </w:rPr>
              <w:t>Intangible assets</w:t>
            </w:r>
          </w:p>
        </w:tc>
        <w:tc>
          <w:tcPr>
            <w:tcW w:w="2405" w:type="dxa"/>
            <w:tcBorders>
              <w:top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068" w:type="dxa"/>
            <w:gridSpan w:val="2"/>
            <w:tcBorders>
              <w:top w:val="nil"/>
              <w:left w:val="single" w:sz="4" w:space="0" w:color="auto"/>
              <w:bottom w:val="single" w:sz="4" w:space="0" w:color="auto"/>
              <w:right w:val="nil"/>
            </w:tcBorders>
            <w:vAlign w:val="center"/>
          </w:tcPr>
          <w:p w:rsidR="00D2569B" w:rsidRPr="00B34608" w:rsidRDefault="00D2569B" w:rsidP="004A089E">
            <w:pPr>
              <w:spacing w:line="276" w:lineRule="auto"/>
              <w:rPr>
                <w:sz w:val="20"/>
              </w:rPr>
            </w:pPr>
            <w:r w:rsidRPr="00B34608">
              <w:rPr>
                <w:sz w:val="20"/>
              </w:rPr>
              <w:t> </w:t>
            </w:r>
          </w:p>
        </w:tc>
        <w:tc>
          <w:tcPr>
            <w:tcW w:w="1418"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AF6079">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sz w:val="20"/>
              </w:rPr>
            </w:pPr>
            <w:r w:rsidRPr="00B34608">
              <w:rPr>
                <w:sz w:val="20"/>
              </w:rPr>
              <w:t>II.</w:t>
            </w:r>
          </w:p>
        </w:tc>
        <w:tc>
          <w:tcPr>
            <w:tcW w:w="2622" w:type="dxa"/>
            <w:tcBorders>
              <w:top w:val="single" w:sz="4" w:space="0" w:color="auto"/>
              <w:left w:val="single" w:sz="4" w:space="0" w:color="auto"/>
              <w:bottom w:val="single" w:sz="4" w:space="0" w:color="auto"/>
            </w:tcBorders>
            <w:noWrap/>
            <w:vAlign w:val="center"/>
          </w:tcPr>
          <w:p w:rsidR="00D2569B" w:rsidRPr="00B34608" w:rsidRDefault="00D2569B" w:rsidP="004A089E">
            <w:pPr>
              <w:spacing w:line="276" w:lineRule="auto"/>
              <w:rPr>
                <w:sz w:val="20"/>
              </w:rPr>
            </w:pPr>
            <w:r>
              <w:rPr>
                <w:sz w:val="20"/>
              </w:rPr>
              <w:t>Tangible fixed assets</w:t>
            </w:r>
          </w:p>
        </w:tc>
        <w:tc>
          <w:tcPr>
            <w:tcW w:w="2405" w:type="dxa"/>
            <w:tcBorders>
              <w:top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068" w:type="dxa"/>
            <w:gridSpan w:val="2"/>
            <w:tcBorders>
              <w:top w:val="nil"/>
              <w:left w:val="single" w:sz="4" w:space="0" w:color="auto"/>
              <w:bottom w:val="single" w:sz="4" w:space="0" w:color="auto"/>
              <w:right w:val="nil"/>
            </w:tcBorders>
            <w:vAlign w:val="center"/>
          </w:tcPr>
          <w:p w:rsidR="00D2569B" w:rsidRPr="00B34608" w:rsidRDefault="00D2569B" w:rsidP="004A089E">
            <w:pPr>
              <w:spacing w:line="276" w:lineRule="auto"/>
              <w:rPr>
                <w:sz w:val="20"/>
              </w:rPr>
            </w:pPr>
            <w:r w:rsidRPr="00B34608">
              <w:rPr>
                <w:sz w:val="20"/>
              </w:rPr>
              <w:t> </w:t>
            </w:r>
          </w:p>
        </w:tc>
        <w:tc>
          <w:tcPr>
            <w:tcW w:w="1418"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AF6079">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sz w:val="20"/>
              </w:rPr>
            </w:pPr>
            <w:r w:rsidRPr="00B34608">
              <w:rPr>
                <w:sz w:val="20"/>
              </w:rPr>
              <w:t>III.</w:t>
            </w:r>
          </w:p>
        </w:tc>
        <w:tc>
          <w:tcPr>
            <w:tcW w:w="2622" w:type="dxa"/>
            <w:tcBorders>
              <w:top w:val="single" w:sz="4" w:space="0" w:color="auto"/>
              <w:left w:val="single" w:sz="4" w:space="0" w:color="auto"/>
              <w:bottom w:val="single" w:sz="4" w:space="0" w:color="auto"/>
            </w:tcBorders>
            <w:noWrap/>
            <w:vAlign w:val="center"/>
          </w:tcPr>
          <w:p w:rsidR="00D2569B" w:rsidRPr="00B34608" w:rsidRDefault="00D2569B" w:rsidP="004A089E">
            <w:pPr>
              <w:spacing w:line="276" w:lineRule="auto"/>
              <w:rPr>
                <w:sz w:val="20"/>
              </w:rPr>
            </w:pPr>
            <w:r>
              <w:rPr>
                <w:sz w:val="20"/>
              </w:rPr>
              <w:t>Long-term financial assets</w:t>
            </w:r>
          </w:p>
        </w:tc>
        <w:tc>
          <w:tcPr>
            <w:tcW w:w="2405" w:type="dxa"/>
            <w:tcBorders>
              <w:top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068" w:type="dxa"/>
            <w:gridSpan w:val="2"/>
            <w:tcBorders>
              <w:top w:val="nil"/>
              <w:left w:val="single" w:sz="4" w:space="0" w:color="auto"/>
              <w:bottom w:val="single" w:sz="4" w:space="0" w:color="auto"/>
              <w:right w:val="nil"/>
            </w:tcBorders>
            <w:vAlign w:val="center"/>
          </w:tcPr>
          <w:p w:rsidR="00D2569B" w:rsidRPr="00B34608" w:rsidRDefault="00D2569B" w:rsidP="004A089E">
            <w:pPr>
              <w:spacing w:line="276" w:lineRule="auto"/>
              <w:rPr>
                <w:sz w:val="20"/>
              </w:rPr>
            </w:pPr>
            <w:r w:rsidRPr="00B34608">
              <w:rPr>
                <w:sz w:val="20"/>
              </w:rPr>
              <w:t> </w:t>
            </w:r>
          </w:p>
        </w:tc>
        <w:tc>
          <w:tcPr>
            <w:tcW w:w="1418"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AF6079">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sz w:val="20"/>
              </w:rPr>
            </w:pPr>
            <w:r w:rsidRPr="00B34608">
              <w:rPr>
                <w:sz w:val="20"/>
              </w:rPr>
              <w:t>IV.</w:t>
            </w:r>
          </w:p>
        </w:tc>
        <w:tc>
          <w:tcPr>
            <w:tcW w:w="2622" w:type="dxa"/>
            <w:tcBorders>
              <w:top w:val="single" w:sz="4" w:space="0" w:color="auto"/>
              <w:left w:val="single" w:sz="4" w:space="0" w:color="auto"/>
              <w:bottom w:val="single" w:sz="4" w:space="0" w:color="auto"/>
            </w:tcBorders>
            <w:noWrap/>
            <w:vAlign w:val="center"/>
          </w:tcPr>
          <w:p w:rsidR="00D2569B" w:rsidRPr="00B34608" w:rsidRDefault="00D2569B" w:rsidP="004A089E">
            <w:pPr>
              <w:spacing w:line="276" w:lineRule="auto"/>
              <w:rPr>
                <w:sz w:val="20"/>
              </w:rPr>
            </w:pPr>
            <w:r>
              <w:rPr>
                <w:sz w:val="20"/>
              </w:rPr>
              <w:t>Other fixed assets</w:t>
            </w:r>
          </w:p>
        </w:tc>
        <w:tc>
          <w:tcPr>
            <w:tcW w:w="2405" w:type="dxa"/>
            <w:tcBorders>
              <w:top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068" w:type="dxa"/>
            <w:gridSpan w:val="2"/>
            <w:tcBorders>
              <w:top w:val="nil"/>
              <w:left w:val="single" w:sz="4" w:space="0" w:color="auto"/>
              <w:bottom w:val="single" w:sz="4" w:space="0" w:color="auto"/>
              <w:right w:val="nil"/>
            </w:tcBorders>
            <w:vAlign w:val="center"/>
          </w:tcPr>
          <w:p w:rsidR="00D2569B" w:rsidRPr="00B34608" w:rsidRDefault="00D2569B" w:rsidP="00AB5345">
            <w:pPr>
              <w:spacing w:line="276" w:lineRule="auto"/>
              <w:jc w:val="center"/>
              <w:rPr>
                <w:sz w:val="20"/>
              </w:rPr>
            </w:pPr>
            <w:r w:rsidRPr="00B34608">
              <w:rPr>
                <w:sz w:val="20"/>
              </w:rPr>
              <w:t>1</w:t>
            </w:r>
          </w:p>
        </w:tc>
        <w:tc>
          <w:tcPr>
            <w:tcW w:w="1418" w:type="dxa"/>
            <w:tcBorders>
              <w:top w:val="nil"/>
              <w:left w:val="single" w:sz="4" w:space="0" w:color="auto"/>
              <w:bottom w:val="single" w:sz="4" w:space="0" w:color="auto"/>
              <w:right w:val="single" w:sz="4" w:space="0" w:color="auto"/>
            </w:tcBorders>
            <w:vAlign w:val="center"/>
          </w:tcPr>
          <w:p w:rsidR="00D2569B" w:rsidRPr="00B34608" w:rsidRDefault="00D2569B" w:rsidP="002C0C47">
            <w:pPr>
              <w:spacing w:line="276" w:lineRule="auto"/>
              <w:jc w:val="right"/>
              <w:rPr>
                <w:sz w:val="20"/>
              </w:rPr>
            </w:pPr>
            <w:r w:rsidRPr="00B34608">
              <w:rPr>
                <w:sz w:val="20"/>
              </w:rPr>
              <w:t>130</w:t>
            </w:r>
            <w:r>
              <w:rPr>
                <w:sz w:val="20"/>
              </w:rPr>
              <w:t>,</w:t>
            </w:r>
            <w:r w:rsidRPr="00B34608">
              <w:rPr>
                <w:sz w:val="20"/>
              </w:rPr>
              <w:t>8</w:t>
            </w:r>
            <w:r>
              <w:rPr>
                <w:sz w:val="20"/>
              </w:rPr>
              <w:t>39,</w:t>
            </w:r>
            <w:r w:rsidRPr="00B34608">
              <w:rPr>
                <w:sz w:val="20"/>
              </w:rPr>
              <w:t>800</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sz w:val="20"/>
              </w:rPr>
            </w:pPr>
            <w:r>
              <w:rPr>
                <w:sz w:val="20"/>
              </w:rPr>
              <w:t>115,</w:t>
            </w:r>
            <w:r w:rsidRPr="00B34608">
              <w:rPr>
                <w:sz w:val="20"/>
              </w:rPr>
              <w:t>840</w:t>
            </w:r>
            <w:r>
              <w:rPr>
                <w:sz w:val="20"/>
              </w:rPr>
              <w:t>,</w:t>
            </w:r>
            <w:r w:rsidRPr="00B34608">
              <w:rPr>
                <w:sz w:val="20"/>
              </w:rPr>
              <w:t>000</w:t>
            </w:r>
          </w:p>
        </w:tc>
      </w:tr>
      <w:tr w:rsidR="00D2569B" w:rsidRPr="00B34608" w:rsidTr="00AF6079">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b/>
                <w:bCs/>
                <w:sz w:val="20"/>
              </w:rPr>
            </w:pPr>
            <w:r w:rsidRPr="00B34608">
              <w:rPr>
                <w:b/>
                <w:bCs/>
                <w:sz w:val="20"/>
              </w:rPr>
              <w:t>B.</w:t>
            </w:r>
          </w:p>
        </w:tc>
        <w:tc>
          <w:tcPr>
            <w:tcW w:w="2622" w:type="dxa"/>
            <w:tcBorders>
              <w:top w:val="single" w:sz="4" w:space="0" w:color="auto"/>
              <w:left w:val="single" w:sz="4" w:space="0" w:color="auto"/>
              <w:bottom w:val="single" w:sz="4" w:space="0" w:color="auto"/>
            </w:tcBorders>
            <w:noWrap/>
            <w:vAlign w:val="center"/>
          </w:tcPr>
          <w:p w:rsidR="00D2569B" w:rsidRPr="00B34608" w:rsidRDefault="00D2569B" w:rsidP="004A089E">
            <w:pPr>
              <w:spacing w:line="276" w:lineRule="auto"/>
              <w:rPr>
                <w:b/>
                <w:bCs/>
                <w:sz w:val="20"/>
              </w:rPr>
            </w:pPr>
            <w:r w:rsidRPr="00B34608">
              <w:rPr>
                <w:b/>
                <w:bCs/>
                <w:sz w:val="20"/>
              </w:rPr>
              <w:t>BIOLOGI</w:t>
            </w:r>
            <w:r>
              <w:rPr>
                <w:b/>
                <w:bCs/>
                <w:sz w:val="20"/>
              </w:rPr>
              <w:t>CAL ASSETS</w:t>
            </w:r>
            <w:r w:rsidRPr="00B34608">
              <w:rPr>
                <w:b/>
                <w:bCs/>
                <w:sz w:val="20"/>
              </w:rPr>
              <w:t xml:space="preserve"> </w:t>
            </w:r>
          </w:p>
        </w:tc>
        <w:tc>
          <w:tcPr>
            <w:tcW w:w="2405" w:type="dxa"/>
            <w:tcBorders>
              <w:top w:val="single" w:sz="4" w:space="0" w:color="auto"/>
              <w:bottom w:val="single" w:sz="4" w:space="0" w:color="auto"/>
              <w:right w:val="single" w:sz="4" w:space="0" w:color="auto"/>
            </w:tcBorders>
            <w:vAlign w:val="center"/>
          </w:tcPr>
          <w:p w:rsidR="00D2569B" w:rsidRPr="00B34608" w:rsidRDefault="00D2569B" w:rsidP="004A089E">
            <w:pPr>
              <w:spacing w:line="276" w:lineRule="auto"/>
              <w:rPr>
                <w:b/>
                <w:bCs/>
                <w:sz w:val="20"/>
              </w:rPr>
            </w:pPr>
            <w:r w:rsidRPr="00B34608">
              <w:rPr>
                <w:b/>
                <w:bCs/>
                <w:sz w:val="20"/>
              </w:rPr>
              <w:t> </w:t>
            </w:r>
          </w:p>
        </w:tc>
        <w:tc>
          <w:tcPr>
            <w:tcW w:w="1068" w:type="dxa"/>
            <w:gridSpan w:val="2"/>
            <w:tcBorders>
              <w:top w:val="nil"/>
              <w:left w:val="single" w:sz="4" w:space="0" w:color="auto"/>
              <w:bottom w:val="single" w:sz="4" w:space="0" w:color="auto"/>
              <w:right w:val="nil"/>
            </w:tcBorders>
            <w:vAlign w:val="center"/>
          </w:tcPr>
          <w:p w:rsidR="00D2569B" w:rsidRPr="00B34608" w:rsidRDefault="00D2569B"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AF6079">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b/>
                <w:bCs/>
                <w:sz w:val="20"/>
              </w:rPr>
            </w:pPr>
            <w:r w:rsidRPr="00B34608">
              <w:rPr>
                <w:b/>
                <w:bCs/>
                <w:sz w:val="20"/>
              </w:rPr>
              <w:t>C.</w:t>
            </w:r>
          </w:p>
        </w:tc>
        <w:tc>
          <w:tcPr>
            <w:tcW w:w="2622" w:type="dxa"/>
            <w:tcBorders>
              <w:top w:val="single" w:sz="4" w:space="0" w:color="auto"/>
              <w:left w:val="single" w:sz="4" w:space="0" w:color="auto"/>
              <w:bottom w:val="single" w:sz="4" w:space="0" w:color="auto"/>
            </w:tcBorders>
            <w:noWrap/>
            <w:vAlign w:val="center"/>
          </w:tcPr>
          <w:p w:rsidR="00D2569B" w:rsidRPr="00B34608" w:rsidRDefault="00D2569B" w:rsidP="004A089E">
            <w:pPr>
              <w:spacing w:line="276" w:lineRule="auto"/>
              <w:rPr>
                <w:b/>
                <w:bCs/>
                <w:sz w:val="20"/>
              </w:rPr>
            </w:pPr>
            <w:r>
              <w:rPr>
                <w:b/>
                <w:bCs/>
                <w:sz w:val="20"/>
              </w:rPr>
              <w:t>CURRENT ASSETS</w:t>
            </w:r>
          </w:p>
        </w:tc>
        <w:tc>
          <w:tcPr>
            <w:tcW w:w="2405" w:type="dxa"/>
            <w:tcBorders>
              <w:top w:val="single" w:sz="4" w:space="0" w:color="auto"/>
              <w:bottom w:val="single" w:sz="4" w:space="0" w:color="auto"/>
              <w:right w:val="single" w:sz="4" w:space="0" w:color="auto"/>
            </w:tcBorders>
            <w:vAlign w:val="center"/>
          </w:tcPr>
          <w:p w:rsidR="00D2569B" w:rsidRPr="00B34608" w:rsidRDefault="00D2569B" w:rsidP="004A089E">
            <w:pPr>
              <w:spacing w:line="276" w:lineRule="auto"/>
              <w:rPr>
                <w:b/>
                <w:bCs/>
                <w:sz w:val="20"/>
              </w:rPr>
            </w:pPr>
            <w:r w:rsidRPr="00B34608">
              <w:rPr>
                <w:b/>
                <w:bCs/>
                <w:sz w:val="20"/>
              </w:rPr>
              <w:t> </w:t>
            </w:r>
          </w:p>
        </w:tc>
        <w:tc>
          <w:tcPr>
            <w:tcW w:w="1068" w:type="dxa"/>
            <w:gridSpan w:val="2"/>
            <w:tcBorders>
              <w:top w:val="nil"/>
              <w:left w:val="single" w:sz="4" w:space="0" w:color="auto"/>
              <w:bottom w:val="single" w:sz="4" w:space="0" w:color="auto"/>
              <w:right w:val="nil"/>
            </w:tcBorders>
            <w:vAlign w:val="center"/>
          </w:tcPr>
          <w:p w:rsidR="00D2569B" w:rsidRPr="00B34608" w:rsidRDefault="00D2569B"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D2569B" w:rsidRPr="00B34608" w:rsidRDefault="00D2569B" w:rsidP="002C0C47">
            <w:pPr>
              <w:spacing w:line="276" w:lineRule="auto"/>
              <w:jc w:val="right"/>
              <w:rPr>
                <w:b/>
                <w:bCs/>
                <w:sz w:val="20"/>
              </w:rPr>
            </w:pPr>
            <w:r w:rsidRPr="00B34608">
              <w:rPr>
                <w:b/>
                <w:bCs/>
                <w:sz w:val="20"/>
              </w:rPr>
              <w:t>105</w:t>
            </w:r>
            <w:r>
              <w:rPr>
                <w:b/>
                <w:bCs/>
                <w:sz w:val="20"/>
              </w:rPr>
              <w:t>,</w:t>
            </w:r>
            <w:r w:rsidRPr="00B34608">
              <w:rPr>
                <w:b/>
                <w:bCs/>
                <w:sz w:val="20"/>
              </w:rPr>
              <w:t>849</w:t>
            </w:r>
            <w:r>
              <w:rPr>
                <w:b/>
                <w:bCs/>
                <w:sz w:val="20"/>
              </w:rPr>
              <w:t>,</w:t>
            </w:r>
            <w:r w:rsidRPr="00B34608">
              <w:rPr>
                <w:b/>
                <w:bCs/>
                <w:sz w:val="20"/>
              </w:rPr>
              <w:t>089</w:t>
            </w:r>
          </w:p>
        </w:tc>
        <w:tc>
          <w:tcPr>
            <w:tcW w:w="1672" w:type="dxa"/>
            <w:tcBorders>
              <w:top w:val="nil"/>
              <w:left w:val="nil"/>
              <w:bottom w:val="single" w:sz="4" w:space="0" w:color="auto"/>
              <w:right w:val="single" w:sz="4" w:space="0" w:color="auto"/>
            </w:tcBorders>
            <w:vAlign w:val="center"/>
          </w:tcPr>
          <w:p w:rsidR="00D2569B" w:rsidRPr="00B34608" w:rsidRDefault="00D2569B" w:rsidP="009821E0">
            <w:pPr>
              <w:spacing w:line="276" w:lineRule="auto"/>
              <w:jc w:val="right"/>
              <w:rPr>
                <w:b/>
                <w:bCs/>
                <w:sz w:val="20"/>
              </w:rPr>
            </w:pPr>
            <w:r w:rsidRPr="00B34608">
              <w:rPr>
                <w:b/>
                <w:bCs/>
                <w:sz w:val="20"/>
              </w:rPr>
              <w:t>147</w:t>
            </w:r>
            <w:r>
              <w:rPr>
                <w:b/>
                <w:bCs/>
                <w:sz w:val="20"/>
              </w:rPr>
              <w:t>,</w:t>
            </w:r>
            <w:r w:rsidRPr="00B34608">
              <w:rPr>
                <w:b/>
                <w:bCs/>
                <w:sz w:val="20"/>
              </w:rPr>
              <w:t>872</w:t>
            </w:r>
            <w:r>
              <w:rPr>
                <w:b/>
                <w:bCs/>
                <w:sz w:val="20"/>
              </w:rPr>
              <w:t>,</w:t>
            </w:r>
            <w:r w:rsidRPr="00B34608">
              <w:rPr>
                <w:b/>
                <w:bCs/>
                <w:sz w:val="20"/>
              </w:rPr>
              <w:t>134</w:t>
            </w:r>
          </w:p>
        </w:tc>
      </w:tr>
      <w:tr w:rsidR="00D2569B" w:rsidRPr="00B34608" w:rsidTr="00AF6079">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sz w:val="20"/>
              </w:rPr>
            </w:pPr>
            <w:r w:rsidRPr="00B34608">
              <w:rPr>
                <w:sz w:val="20"/>
              </w:rPr>
              <w:t>I.</w:t>
            </w:r>
          </w:p>
        </w:tc>
        <w:tc>
          <w:tcPr>
            <w:tcW w:w="5027" w:type="dxa"/>
            <w:gridSpan w:val="2"/>
            <w:tcBorders>
              <w:top w:val="single" w:sz="4" w:space="0" w:color="auto"/>
              <w:left w:val="nil"/>
              <w:bottom w:val="single" w:sz="4" w:space="0" w:color="auto"/>
              <w:right w:val="single" w:sz="4" w:space="0" w:color="000000"/>
            </w:tcBorders>
            <w:noWrap/>
            <w:vAlign w:val="center"/>
          </w:tcPr>
          <w:p w:rsidR="00D2569B" w:rsidRPr="00B34608" w:rsidRDefault="00D2569B" w:rsidP="004A089E">
            <w:pPr>
              <w:spacing w:line="276" w:lineRule="auto"/>
              <w:rPr>
                <w:sz w:val="20"/>
              </w:rPr>
            </w:pPr>
            <w:r>
              <w:rPr>
                <w:sz w:val="20"/>
              </w:rPr>
              <w:t>Inventories</w:t>
            </w:r>
          </w:p>
        </w:tc>
        <w:tc>
          <w:tcPr>
            <w:tcW w:w="1068" w:type="dxa"/>
            <w:gridSpan w:val="2"/>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right"/>
              <w:rPr>
                <w:sz w:val="20"/>
              </w:rPr>
            </w:pPr>
            <w:r w:rsidRPr="00B34608">
              <w:rPr>
                <w:sz w:val="20"/>
              </w:rPr>
              <w:t>0</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sz w:val="20"/>
              </w:rPr>
            </w:pPr>
            <w:r w:rsidRPr="00B34608">
              <w:rPr>
                <w:sz w:val="20"/>
              </w:rPr>
              <w:t>0</w:t>
            </w:r>
          </w:p>
        </w:tc>
      </w:tr>
      <w:tr w:rsidR="00D2569B" w:rsidRPr="00B34608" w:rsidTr="00AF6079">
        <w:trPr>
          <w:trHeight w:val="57"/>
        </w:trPr>
        <w:tc>
          <w:tcPr>
            <w:tcW w:w="880" w:type="dxa"/>
            <w:tcBorders>
              <w:top w:val="nil"/>
              <w:left w:val="single" w:sz="4" w:space="0" w:color="auto"/>
              <w:bottom w:val="single" w:sz="4" w:space="0" w:color="auto"/>
              <w:right w:val="nil"/>
            </w:tcBorders>
            <w:shd w:val="clear" w:color="000000" w:fill="FFFFFF"/>
            <w:vAlign w:val="center"/>
          </w:tcPr>
          <w:p w:rsidR="00D2569B" w:rsidRPr="00B34608" w:rsidRDefault="00D2569B" w:rsidP="004A089E">
            <w:pPr>
              <w:spacing w:line="276" w:lineRule="auto"/>
              <w:jc w:val="center"/>
              <w:rPr>
                <w:sz w:val="20"/>
              </w:rPr>
            </w:pPr>
            <w:r w:rsidRPr="00B34608">
              <w:rPr>
                <w:sz w:val="20"/>
              </w:rPr>
              <w:t>I.1</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Inventories, excluding tangible fixed assets and biological assets</w:t>
            </w:r>
            <w:r w:rsidRPr="00B34608">
              <w:rPr>
                <w:sz w:val="20"/>
              </w:rPr>
              <w:t xml:space="preserve"> </w:t>
            </w:r>
            <w:r>
              <w:rPr>
                <w:sz w:val="20"/>
              </w:rPr>
              <w:t>held-for-sale</w:t>
            </w:r>
          </w:p>
        </w:tc>
        <w:tc>
          <w:tcPr>
            <w:tcW w:w="1068" w:type="dxa"/>
            <w:gridSpan w:val="2"/>
            <w:tcBorders>
              <w:top w:val="nil"/>
              <w:left w:val="nil"/>
              <w:bottom w:val="single" w:sz="4" w:space="0" w:color="auto"/>
              <w:right w:val="single" w:sz="4" w:space="0" w:color="auto"/>
            </w:tcBorders>
            <w:vAlign w:val="center"/>
          </w:tcPr>
          <w:p w:rsidR="00D2569B" w:rsidRPr="00B34608" w:rsidRDefault="00D2569B" w:rsidP="00AB5345">
            <w:pPr>
              <w:spacing w:line="276" w:lineRule="auto"/>
              <w:jc w:val="center"/>
              <w:rPr>
                <w:rFonts w:ascii="Arial" w:hAnsi="Arial" w:cs="Arial"/>
                <w:sz w:val="20"/>
              </w:rPr>
            </w:pPr>
          </w:p>
        </w:tc>
        <w:tc>
          <w:tcPr>
            <w:tcW w:w="1418"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AF6079">
        <w:trPr>
          <w:trHeight w:val="57"/>
        </w:trPr>
        <w:tc>
          <w:tcPr>
            <w:tcW w:w="880" w:type="dxa"/>
            <w:tcBorders>
              <w:top w:val="nil"/>
              <w:left w:val="single" w:sz="4" w:space="0" w:color="auto"/>
              <w:bottom w:val="single" w:sz="4" w:space="0" w:color="auto"/>
              <w:right w:val="nil"/>
            </w:tcBorders>
            <w:shd w:val="clear" w:color="000000" w:fill="FFFFFF"/>
            <w:vAlign w:val="center"/>
          </w:tcPr>
          <w:p w:rsidR="00D2569B" w:rsidRPr="00B34608" w:rsidRDefault="00D2569B" w:rsidP="004A089E">
            <w:pPr>
              <w:spacing w:line="276" w:lineRule="auto"/>
              <w:jc w:val="center"/>
              <w:rPr>
                <w:sz w:val="20"/>
              </w:rPr>
            </w:pPr>
            <w:r w:rsidRPr="00B34608">
              <w:rPr>
                <w:sz w:val="20"/>
              </w:rPr>
              <w:t>I.2</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Tangible fixed assets and biological assets</w:t>
            </w:r>
            <w:r w:rsidRPr="00B34608">
              <w:rPr>
                <w:sz w:val="20"/>
              </w:rPr>
              <w:t xml:space="preserve"> </w:t>
            </w:r>
            <w:r>
              <w:rPr>
                <w:sz w:val="20"/>
              </w:rPr>
              <w:t>held-for-sale</w:t>
            </w:r>
          </w:p>
        </w:tc>
        <w:tc>
          <w:tcPr>
            <w:tcW w:w="1068" w:type="dxa"/>
            <w:gridSpan w:val="2"/>
            <w:tcBorders>
              <w:top w:val="nil"/>
              <w:left w:val="nil"/>
              <w:bottom w:val="single" w:sz="4" w:space="0" w:color="auto"/>
              <w:right w:val="single" w:sz="4" w:space="0" w:color="auto"/>
            </w:tcBorders>
            <w:shd w:val="clear" w:color="000000" w:fill="FFFFFF"/>
            <w:vAlign w:val="center"/>
          </w:tcPr>
          <w:p w:rsidR="00D2569B" w:rsidRPr="00B34608" w:rsidRDefault="00D2569B" w:rsidP="00AB5345">
            <w:pPr>
              <w:spacing w:line="276" w:lineRule="auto"/>
              <w:jc w:val="center"/>
              <w:rPr>
                <w:sz w:val="20"/>
              </w:rPr>
            </w:pPr>
          </w:p>
        </w:tc>
        <w:tc>
          <w:tcPr>
            <w:tcW w:w="1418"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AF6079">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sz w:val="20"/>
              </w:rPr>
            </w:pPr>
            <w:r w:rsidRPr="00B34608">
              <w:rPr>
                <w:sz w:val="20"/>
              </w:rPr>
              <w:t>II.</w:t>
            </w:r>
          </w:p>
        </w:tc>
        <w:tc>
          <w:tcPr>
            <w:tcW w:w="5027" w:type="dxa"/>
            <w:gridSpan w:val="2"/>
            <w:tcBorders>
              <w:top w:val="single" w:sz="4" w:space="0" w:color="auto"/>
              <w:left w:val="nil"/>
              <w:bottom w:val="single" w:sz="4" w:space="0" w:color="auto"/>
              <w:right w:val="single" w:sz="4" w:space="0" w:color="000000"/>
            </w:tcBorders>
            <w:noWrap/>
            <w:vAlign w:val="center"/>
          </w:tcPr>
          <w:p w:rsidR="00D2569B" w:rsidRPr="00B34608" w:rsidRDefault="00D2569B" w:rsidP="004A089E">
            <w:pPr>
              <w:spacing w:line="276" w:lineRule="auto"/>
              <w:rPr>
                <w:sz w:val="20"/>
              </w:rPr>
            </w:pPr>
            <w:r>
              <w:rPr>
                <w:sz w:val="20"/>
              </w:rPr>
              <w:t>Prepayments</w:t>
            </w:r>
          </w:p>
        </w:tc>
        <w:tc>
          <w:tcPr>
            <w:tcW w:w="1068" w:type="dxa"/>
            <w:gridSpan w:val="2"/>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r w:rsidRPr="00B34608">
              <w:rPr>
                <w:sz w:val="20"/>
              </w:rPr>
              <w:t>2</w:t>
            </w:r>
          </w:p>
        </w:tc>
        <w:tc>
          <w:tcPr>
            <w:tcW w:w="1418" w:type="dxa"/>
            <w:tcBorders>
              <w:top w:val="nil"/>
              <w:left w:val="single" w:sz="4" w:space="0" w:color="auto"/>
              <w:bottom w:val="single" w:sz="4" w:space="0" w:color="auto"/>
              <w:right w:val="single" w:sz="4" w:space="0" w:color="auto"/>
            </w:tcBorders>
            <w:vAlign w:val="center"/>
          </w:tcPr>
          <w:p w:rsidR="00D2569B" w:rsidRPr="00B34608" w:rsidRDefault="00D2569B" w:rsidP="00A43BB2">
            <w:pPr>
              <w:spacing w:line="276" w:lineRule="auto"/>
              <w:jc w:val="right"/>
              <w:rPr>
                <w:sz w:val="20"/>
              </w:rPr>
            </w:pPr>
            <w:r w:rsidRPr="00B34608">
              <w:rPr>
                <w:sz w:val="20"/>
              </w:rPr>
              <w:t>8</w:t>
            </w:r>
            <w:r>
              <w:rPr>
                <w:sz w:val="20"/>
              </w:rPr>
              <w:t>,</w:t>
            </w:r>
            <w:r w:rsidRPr="00B34608">
              <w:rPr>
                <w:sz w:val="20"/>
              </w:rPr>
              <w:t>338</w:t>
            </w:r>
            <w:r>
              <w:rPr>
                <w:sz w:val="20"/>
              </w:rPr>
              <w:t>,</w:t>
            </w:r>
            <w:r w:rsidRPr="00B34608">
              <w:rPr>
                <w:sz w:val="20"/>
              </w:rPr>
              <w:t>141</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sz w:val="20"/>
              </w:rPr>
            </w:pPr>
            <w:r w:rsidRPr="00B34608">
              <w:rPr>
                <w:sz w:val="20"/>
              </w:rPr>
              <w:t>1</w:t>
            </w:r>
            <w:r>
              <w:rPr>
                <w:sz w:val="20"/>
              </w:rPr>
              <w:t>,</w:t>
            </w:r>
            <w:r w:rsidRPr="00B34608">
              <w:rPr>
                <w:sz w:val="20"/>
              </w:rPr>
              <w:t>912</w:t>
            </w:r>
            <w:r>
              <w:rPr>
                <w:sz w:val="20"/>
              </w:rPr>
              <w:t>,</w:t>
            </w:r>
            <w:r w:rsidRPr="00B34608">
              <w:rPr>
                <w:sz w:val="20"/>
              </w:rPr>
              <w:t>165</w:t>
            </w:r>
          </w:p>
        </w:tc>
      </w:tr>
      <w:tr w:rsidR="00D2569B" w:rsidRPr="00B34608" w:rsidTr="00AF6079">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sz w:val="20"/>
              </w:rPr>
            </w:pPr>
            <w:r w:rsidRPr="00B34608">
              <w:rPr>
                <w:sz w:val="20"/>
              </w:rPr>
              <w:t>III.</w:t>
            </w:r>
          </w:p>
        </w:tc>
        <w:tc>
          <w:tcPr>
            <w:tcW w:w="5027" w:type="dxa"/>
            <w:gridSpan w:val="2"/>
            <w:tcBorders>
              <w:top w:val="single" w:sz="4" w:space="0" w:color="auto"/>
              <w:left w:val="nil"/>
              <w:bottom w:val="single" w:sz="4" w:space="0" w:color="auto"/>
              <w:right w:val="single" w:sz="4" w:space="0" w:color="000000"/>
            </w:tcBorders>
            <w:noWrap/>
            <w:vAlign w:val="center"/>
          </w:tcPr>
          <w:p w:rsidR="00D2569B" w:rsidRPr="00B34608" w:rsidRDefault="00D2569B" w:rsidP="004A089E">
            <w:pPr>
              <w:spacing w:line="276" w:lineRule="auto"/>
              <w:rPr>
                <w:sz w:val="20"/>
              </w:rPr>
            </w:pPr>
            <w:r>
              <w:rPr>
                <w:sz w:val="20"/>
              </w:rPr>
              <w:t>Amounts receivable within one year</w:t>
            </w:r>
          </w:p>
        </w:tc>
        <w:tc>
          <w:tcPr>
            <w:tcW w:w="1068" w:type="dxa"/>
            <w:gridSpan w:val="2"/>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r w:rsidRPr="00B34608">
              <w:rPr>
                <w:sz w:val="20"/>
              </w:rPr>
              <w:t>3</w:t>
            </w:r>
          </w:p>
        </w:tc>
        <w:tc>
          <w:tcPr>
            <w:tcW w:w="1418" w:type="dxa"/>
            <w:tcBorders>
              <w:top w:val="nil"/>
              <w:left w:val="single" w:sz="4" w:space="0" w:color="auto"/>
              <w:bottom w:val="single" w:sz="4" w:space="0" w:color="auto"/>
              <w:right w:val="single" w:sz="4" w:space="0" w:color="auto"/>
            </w:tcBorders>
            <w:vAlign w:val="center"/>
          </w:tcPr>
          <w:p w:rsidR="00D2569B" w:rsidRPr="00B34608" w:rsidRDefault="00D2569B" w:rsidP="002C0C47">
            <w:pPr>
              <w:spacing w:line="276" w:lineRule="auto"/>
              <w:jc w:val="right"/>
              <w:rPr>
                <w:sz w:val="20"/>
              </w:rPr>
            </w:pPr>
            <w:r w:rsidRPr="00B34608">
              <w:rPr>
                <w:sz w:val="20"/>
              </w:rPr>
              <w:t>42</w:t>
            </w:r>
            <w:r>
              <w:rPr>
                <w:sz w:val="20"/>
              </w:rPr>
              <w:t>,</w:t>
            </w:r>
            <w:r w:rsidRPr="00B34608">
              <w:rPr>
                <w:sz w:val="20"/>
              </w:rPr>
              <w:t>444</w:t>
            </w:r>
            <w:r>
              <w:rPr>
                <w:sz w:val="20"/>
              </w:rPr>
              <w:t>,</w:t>
            </w:r>
            <w:r w:rsidRPr="00B34608">
              <w:rPr>
                <w:sz w:val="20"/>
              </w:rPr>
              <w:t>941</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sz w:val="20"/>
              </w:rPr>
            </w:pPr>
            <w:r>
              <w:rPr>
                <w:sz w:val="20"/>
              </w:rPr>
              <w:t>60,</w:t>
            </w:r>
            <w:r w:rsidRPr="00B34608">
              <w:rPr>
                <w:sz w:val="20"/>
              </w:rPr>
              <w:t>223</w:t>
            </w:r>
            <w:r>
              <w:rPr>
                <w:sz w:val="20"/>
              </w:rPr>
              <w:t>,</w:t>
            </w:r>
            <w:r w:rsidRPr="00B34608">
              <w:rPr>
                <w:sz w:val="20"/>
              </w:rPr>
              <w:t>178</w:t>
            </w:r>
          </w:p>
        </w:tc>
      </w:tr>
      <w:tr w:rsidR="00D2569B" w:rsidRPr="00B34608" w:rsidTr="00AF6079">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III.1</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Short–term financial receivables</w:t>
            </w:r>
          </w:p>
        </w:tc>
        <w:tc>
          <w:tcPr>
            <w:tcW w:w="1068" w:type="dxa"/>
            <w:gridSpan w:val="2"/>
            <w:tcBorders>
              <w:top w:val="nil"/>
              <w:left w:val="nil"/>
              <w:bottom w:val="single" w:sz="4" w:space="0" w:color="auto"/>
              <w:right w:val="single" w:sz="4" w:space="0" w:color="auto"/>
            </w:tcBorders>
            <w:vAlign w:val="center"/>
          </w:tcPr>
          <w:p w:rsidR="00D2569B" w:rsidRPr="00B34608" w:rsidRDefault="00D2569B" w:rsidP="00AB5345">
            <w:pPr>
              <w:spacing w:line="276" w:lineRule="auto"/>
              <w:jc w:val="center"/>
              <w:rPr>
                <w:sz w:val="20"/>
              </w:rPr>
            </w:pPr>
          </w:p>
        </w:tc>
        <w:tc>
          <w:tcPr>
            <w:tcW w:w="1418"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AF6079">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III.2</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Receivable taxes and social contributions</w:t>
            </w:r>
          </w:p>
        </w:tc>
        <w:tc>
          <w:tcPr>
            <w:tcW w:w="1068" w:type="dxa"/>
            <w:gridSpan w:val="2"/>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AF6079">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III.3</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Financing receivables</w:t>
            </w:r>
          </w:p>
        </w:tc>
        <w:tc>
          <w:tcPr>
            <w:tcW w:w="1068" w:type="dxa"/>
            <w:gridSpan w:val="2"/>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AF6079">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III.4</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 xml:space="preserve">Receivables for use of assets, sold goods, assets and services </w:t>
            </w:r>
          </w:p>
        </w:tc>
        <w:tc>
          <w:tcPr>
            <w:tcW w:w="1068" w:type="dxa"/>
            <w:gridSpan w:val="2"/>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AF6079">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III.5</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Accumulated receivables</w:t>
            </w:r>
          </w:p>
        </w:tc>
        <w:tc>
          <w:tcPr>
            <w:tcW w:w="1068" w:type="dxa"/>
            <w:gridSpan w:val="2"/>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right"/>
              <w:rPr>
                <w:sz w:val="20"/>
              </w:rPr>
            </w:pPr>
            <w:r w:rsidRPr="00B34608">
              <w:rPr>
                <w:sz w:val="20"/>
              </w:rPr>
              <w:t>0</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sz w:val="20"/>
              </w:rPr>
            </w:pPr>
            <w:r w:rsidRPr="00B34608">
              <w:rPr>
                <w:sz w:val="20"/>
              </w:rPr>
              <w:t>0</w:t>
            </w:r>
          </w:p>
        </w:tc>
      </w:tr>
      <w:tr w:rsidR="00D2569B" w:rsidRPr="00B34608" w:rsidTr="00AF6079">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III.6</w:t>
            </w:r>
          </w:p>
        </w:tc>
        <w:tc>
          <w:tcPr>
            <w:tcW w:w="5027" w:type="dxa"/>
            <w:gridSpan w:val="2"/>
            <w:tcBorders>
              <w:top w:val="single" w:sz="4" w:space="0" w:color="auto"/>
              <w:left w:val="single" w:sz="4" w:space="0" w:color="auto"/>
              <w:bottom w:val="single" w:sz="4" w:space="0" w:color="auto"/>
              <w:right w:val="single" w:sz="4" w:space="0" w:color="000000"/>
            </w:tcBorders>
            <w:noWrap/>
            <w:vAlign w:val="center"/>
          </w:tcPr>
          <w:p w:rsidR="00D2569B" w:rsidRPr="00B34608" w:rsidRDefault="00D2569B" w:rsidP="004A089E">
            <w:pPr>
              <w:spacing w:line="276" w:lineRule="auto"/>
              <w:rPr>
                <w:sz w:val="20"/>
              </w:rPr>
            </w:pPr>
            <w:r>
              <w:rPr>
                <w:sz w:val="20"/>
              </w:rPr>
              <w:t>Other receivables</w:t>
            </w:r>
          </w:p>
        </w:tc>
        <w:tc>
          <w:tcPr>
            <w:tcW w:w="1068" w:type="dxa"/>
            <w:gridSpan w:val="2"/>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right"/>
              <w:rPr>
                <w:sz w:val="20"/>
              </w:rPr>
            </w:pPr>
            <w:r w:rsidRPr="00B34608">
              <w:rPr>
                <w:sz w:val="20"/>
              </w:rPr>
              <w:t>42</w:t>
            </w:r>
            <w:r>
              <w:rPr>
                <w:sz w:val="20"/>
              </w:rPr>
              <w:t>,</w:t>
            </w:r>
            <w:r w:rsidRPr="00B34608">
              <w:rPr>
                <w:sz w:val="20"/>
              </w:rPr>
              <w:t>444</w:t>
            </w:r>
            <w:r>
              <w:rPr>
                <w:sz w:val="20"/>
              </w:rPr>
              <w:t>,</w:t>
            </w:r>
            <w:r w:rsidRPr="00B34608">
              <w:rPr>
                <w:sz w:val="20"/>
              </w:rPr>
              <w:t>941</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sz w:val="20"/>
              </w:rPr>
            </w:pPr>
            <w:r>
              <w:rPr>
                <w:sz w:val="20"/>
              </w:rPr>
              <w:t>60,</w:t>
            </w:r>
            <w:r w:rsidRPr="00B34608">
              <w:rPr>
                <w:sz w:val="20"/>
              </w:rPr>
              <w:t>223</w:t>
            </w:r>
            <w:r>
              <w:rPr>
                <w:sz w:val="20"/>
              </w:rPr>
              <w:t>,</w:t>
            </w:r>
            <w:r w:rsidRPr="00B34608">
              <w:rPr>
                <w:sz w:val="20"/>
              </w:rPr>
              <w:t>178</w:t>
            </w:r>
          </w:p>
        </w:tc>
      </w:tr>
      <w:tr w:rsidR="00D2569B" w:rsidRPr="00B34608" w:rsidTr="00AF6079">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sz w:val="20"/>
              </w:rPr>
            </w:pPr>
            <w:r w:rsidRPr="00B34608">
              <w:rPr>
                <w:sz w:val="20"/>
              </w:rPr>
              <w:t>IV.</w:t>
            </w:r>
          </w:p>
        </w:tc>
        <w:tc>
          <w:tcPr>
            <w:tcW w:w="2622" w:type="dxa"/>
            <w:tcBorders>
              <w:top w:val="single" w:sz="4" w:space="0" w:color="auto"/>
              <w:left w:val="single" w:sz="4" w:space="0" w:color="auto"/>
              <w:bottom w:val="single" w:sz="4" w:space="0" w:color="auto"/>
            </w:tcBorders>
            <w:noWrap/>
            <w:vAlign w:val="center"/>
          </w:tcPr>
          <w:p w:rsidR="00D2569B" w:rsidRPr="00B34608" w:rsidRDefault="00D2569B" w:rsidP="004A089E">
            <w:pPr>
              <w:spacing w:line="276" w:lineRule="auto"/>
              <w:rPr>
                <w:sz w:val="20"/>
              </w:rPr>
            </w:pPr>
            <w:r>
              <w:rPr>
                <w:sz w:val="20"/>
              </w:rPr>
              <w:t>Short-term investments</w:t>
            </w:r>
          </w:p>
        </w:tc>
        <w:tc>
          <w:tcPr>
            <w:tcW w:w="2405" w:type="dxa"/>
            <w:tcBorders>
              <w:top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068" w:type="dxa"/>
            <w:gridSpan w:val="2"/>
            <w:tcBorders>
              <w:top w:val="nil"/>
              <w:left w:val="single" w:sz="4" w:space="0" w:color="auto"/>
              <w:bottom w:val="single" w:sz="4" w:space="0" w:color="auto"/>
              <w:right w:val="nil"/>
            </w:tcBorders>
            <w:vAlign w:val="center"/>
          </w:tcPr>
          <w:p w:rsidR="00D2569B" w:rsidRPr="00B34608" w:rsidRDefault="00D2569B"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right"/>
              <w:rPr>
                <w:sz w:val="20"/>
              </w:rPr>
            </w:pPr>
            <w:r w:rsidRPr="00B34608">
              <w:rPr>
                <w:sz w:val="20"/>
              </w:rPr>
              <w:t>0</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sz w:val="20"/>
              </w:rPr>
            </w:pPr>
            <w:r w:rsidRPr="00B34608">
              <w:rPr>
                <w:sz w:val="20"/>
              </w:rPr>
              <w:t>0</w:t>
            </w:r>
          </w:p>
        </w:tc>
      </w:tr>
      <w:tr w:rsidR="00D2569B" w:rsidRPr="00B34608" w:rsidTr="00AF6079">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sz w:val="20"/>
              </w:rPr>
            </w:pPr>
            <w:r w:rsidRPr="00B34608">
              <w:rPr>
                <w:sz w:val="20"/>
              </w:rPr>
              <w:t>V.</w:t>
            </w:r>
          </w:p>
        </w:tc>
        <w:tc>
          <w:tcPr>
            <w:tcW w:w="5027" w:type="dxa"/>
            <w:gridSpan w:val="2"/>
            <w:tcBorders>
              <w:top w:val="single" w:sz="4" w:space="0" w:color="auto"/>
              <w:left w:val="single" w:sz="4" w:space="0" w:color="auto"/>
              <w:bottom w:val="single" w:sz="4" w:space="0" w:color="auto"/>
              <w:right w:val="single" w:sz="4" w:space="0" w:color="auto"/>
            </w:tcBorders>
            <w:noWrap/>
            <w:vAlign w:val="center"/>
          </w:tcPr>
          <w:p w:rsidR="00D2569B" w:rsidRPr="00B34608" w:rsidRDefault="00D2569B" w:rsidP="004A089E">
            <w:pPr>
              <w:spacing w:line="276" w:lineRule="auto"/>
              <w:rPr>
                <w:sz w:val="20"/>
              </w:rPr>
            </w:pPr>
            <w:r>
              <w:rPr>
                <w:sz w:val="20"/>
              </w:rPr>
              <w:t>Cash and cash equivalents</w:t>
            </w:r>
          </w:p>
        </w:tc>
        <w:tc>
          <w:tcPr>
            <w:tcW w:w="1068" w:type="dxa"/>
            <w:gridSpan w:val="2"/>
            <w:tcBorders>
              <w:top w:val="nil"/>
              <w:left w:val="single" w:sz="4" w:space="0" w:color="auto"/>
              <w:bottom w:val="single" w:sz="4" w:space="0" w:color="auto"/>
              <w:right w:val="nil"/>
            </w:tcBorders>
            <w:vAlign w:val="center"/>
          </w:tcPr>
          <w:p w:rsidR="00D2569B" w:rsidRPr="00B34608" w:rsidRDefault="00D2569B" w:rsidP="00AB5345">
            <w:pPr>
              <w:spacing w:line="276" w:lineRule="auto"/>
              <w:jc w:val="center"/>
              <w:rPr>
                <w:sz w:val="20"/>
              </w:rPr>
            </w:pPr>
            <w:r w:rsidRPr="00B34608">
              <w:rPr>
                <w:sz w:val="20"/>
              </w:rPr>
              <w:t>4</w:t>
            </w:r>
          </w:p>
        </w:tc>
        <w:tc>
          <w:tcPr>
            <w:tcW w:w="1418" w:type="dxa"/>
            <w:tcBorders>
              <w:top w:val="nil"/>
              <w:left w:val="single" w:sz="4" w:space="0" w:color="auto"/>
              <w:bottom w:val="single" w:sz="4" w:space="0" w:color="auto"/>
              <w:right w:val="single" w:sz="4" w:space="0" w:color="auto"/>
            </w:tcBorders>
            <w:vAlign w:val="center"/>
          </w:tcPr>
          <w:p w:rsidR="00D2569B" w:rsidRPr="00B34608" w:rsidRDefault="00D2569B" w:rsidP="002C0C47">
            <w:pPr>
              <w:spacing w:line="276" w:lineRule="auto"/>
              <w:jc w:val="right"/>
              <w:rPr>
                <w:sz w:val="20"/>
              </w:rPr>
            </w:pPr>
            <w:r w:rsidRPr="00B34608">
              <w:rPr>
                <w:sz w:val="20"/>
              </w:rPr>
              <w:t>55</w:t>
            </w:r>
            <w:r>
              <w:rPr>
                <w:sz w:val="20"/>
              </w:rPr>
              <w:t>,</w:t>
            </w:r>
            <w:r w:rsidRPr="00B34608">
              <w:rPr>
                <w:sz w:val="20"/>
              </w:rPr>
              <w:t>066</w:t>
            </w:r>
            <w:r>
              <w:rPr>
                <w:sz w:val="20"/>
              </w:rPr>
              <w:t>,</w:t>
            </w:r>
            <w:r w:rsidRPr="00B34608">
              <w:rPr>
                <w:sz w:val="20"/>
              </w:rPr>
              <w:t>007</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sz w:val="20"/>
              </w:rPr>
            </w:pPr>
            <w:r>
              <w:rPr>
                <w:sz w:val="20"/>
              </w:rPr>
              <w:t>85,</w:t>
            </w:r>
            <w:r w:rsidRPr="00B34608">
              <w:rPr>
                <w:sz w:val="20"/>
              </w:rPr>
              <w:t>736</w:t>
            </w:r>
            <w:r>
              <w:rPr>
                <w:sz w:val="20"/>
              </w:rPr>
              <w:t>,</w:t>
            </w:r>
            <w:r w:rsidRPr="00B34608">
              <w:rPr>
                <w:sz w:val="20"/>
              </w:rPr>
              <w:t>791</w:t>
            </w:r>
          </w:p>
        </w:tc>
      </w:tr>
      <w:tr w:rsidR="00D2569B" w:rsidRPr="00B34608" w:rsidTr="00AF6079">
        <w:trPr>
          <w:trHeight w:val="57"/>
        </w:trPr>
        <w:tc>
          <w:tcPr>
            <w:tcW w:w="880"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sz w:val="20"/>
              </w:rPr>
            </w:pPr>
            <w:r w:rsidRPr="00B34608">
              <w:rPr>
                <w:sz w:val="20"/>
              </w:rPr>
              <w:t> </w:t>
            </w:r>
          </w:p>
        </w:tc>
        <w:tc>
          <w:tcPr>
            <w:tcW w:w="2622" w:type="dxa"/>
            <w:tcBorders>
              <w:top w:val="single" w:sz="4" w:space="0" w:color="auto"/>
              <w:left w:val="single" w:sz="4" w:space="0" w:color="auto"/>
              <w:bottom w:val="single" w:sz="4" w:space="0" w:color="auto"/>
            </w:tcBorders>
            <w:noWrap/>
            <w:vAlign w:val="center"/>
          </w:tcPr>
          <w:p w:rsidR="00D2569B" w:rsidRPr="00B34608" w:rsidRDefault="00D2569B" w:rsidP="004A089E">
            <w:pPr>
              <w:spacing w:line="276" w:lineRule="auto"/>
              <w:rPr>
                <w:b/>
                <w:bCs/>
                <w:sz w:val="20"/>
              </w:rPr>
            </w:pPr>
            <w:r>
              <w:rPr>
                <w:b/>
                <w:bCs/>
                <w:sz w:val="20"/>
              </w:rPr>
              <w:t>TOTAL ASSETS</w:t>
            </w:r>
            <w:r w:rsidRPr="00B34608">
              <w:rPr>
                <w:b/>
                <w:bCs/>
                <w:sz w:val="20"/>
              </w:rPr>
              <w:t>:</w:t>
            </w:r>
          </w:p>
        </w:tc>
        <w:tc>
          <w:tcPr>
            <w:tcW w:w="2405" w:type="dxa"/>
            <w:tcBorders>
              <w:top w:val="single" w:sz="4" w:space="0" w:color="auto"/>
              <w:bottom w:val="single" w:sz="4" w:space="0" w:color="auto"/>
              <w:right w:val="single" w:sz="4" w:space="0" w:color="auto"/>
            </w:tcBorders>
            <w:vAlign w:val="center"/>
          </w:tcPr>
          <w:p w:rsidR="00D2569B" w:rsidRPr="00B34608" w:rsidRDefault="00D2569B" w:rsidP="004A089E">
            <w:pPr>
              <w:spacing w:line="276" w:lineRule="auto"/>
              <w:rPr>
                <w:b/>
                <w:bCs/>
                <w:sz w:val="20"/>
              </w:rPr>
            </w:pPr>
            <w:r w:rsidRPr="00B34608">
              <w:rPr>
                <w:b/>
                <w:bCs/>
                <w:sz w:val="20"/>
              </w:rPr>
              <w:t> </w:t>
            </w:r>
          </w:p>
        </w:tc>
        <w:tc>
          <w:tcPr>
            <w:tcW w:w="1068" w:type="dxa"/>
            <w:gridSpan w:val="2"/>
            <w:tcBorders>
              <w:top w:val="single" w:sz="4" w:space="0" w:color="auto"/>
              <w:left w:val="single" w:sz="4" w:space="0" w:color="auto"/>
              <w:bottom w:val="single" w:sz="4" w:space="0" w:color="auto"/>
              <w:right w:val="nil"/>
            </w:tcBorders>
            <w:vAlign w:val="center"/>
          </w:tcPr>
          <w:p w:rsidR="00D2569B" w:rsidRPr="00B34608" w:rsidRDefault="00D2569B" w:rsidP="00AB5345">
            <w:pPr>
              <w:spacing w:line="276" w:lineRule="auto"/>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2C0C47">
            <w:pPr>
              <w:spacing w:line="276" w:lineRule="auto"/>
              <w:jc w:val="right"/>
              <w:rPr>
                <w:b/>
                <w:bCs/>
                <w:sz w:val="20"/>
              </w:rPr>
            </w:pPr>
            <w:r w:rsidRPr="00B34608">
              <w:rPr>
                <w:b/>
                <w:bCs/>
                <w:sz w:val="20"/>
              </w:rPr>
              <w:t>236</w:t>
            </w:r>
            <w:r>
              <w:rPr>
                <w:b/>
                <w:bCs/>
                <w:sz w:val="20"/>
              </w:rPr>
              <w:t>,</w:t>
            </w:r>
            <w:r w:rsidRPr="00B34608">
              <w:rPr>
                <w:b/>
                <w:bCs/>
                <w:sz w:val="20"/>
              </w:rPr>
              <w:t>688</w:t>
            </w:r>
            <w:r>
              <w:rPr>
                <w:b/>
                <w:bCs/>
                <w:sz w:val="20"/>
              </w:rPr>
              <w:t>,</w:t>
            </w:r>
            <w:r w:rsidRPr="00B34608">
              <w:rPr>
                <w:b/>
                <w:bCs/>
                <w:sz w:val="20"/>
              </w:rPr>
              <w:t>889</w:t>
            </w:r>
          </w:p>
        </w:tc>
        <w:tc>
          <w:tcPr>
            <w:tcW w:w="1672" w:type="dxa"/>
            <w:tcBorders>
              <w:top w:val="single" w:sz="4" w:space="0" w:color="auto"/>
              <w:left w:val="nil"/>
              <w:bottom w:val="single" w:sz="4" w:space="0" w:color="auto"/>
              <w:right w:val="single" w:sz="4" w:space="0" w:color="auto"/>
            </w:tcBorders>
            <w:vAlign w:val="center"/>
          </w:tcPr>
          <w:p w:rsidR="00D2569B" w:rsidRPr="00B34608" w:rsidRDefault="00D2569B" w:rsidP="004A089E">
            <w:pPr>
              <w:spacing w:line="276" w:lineRule="auto"/>
              <w:jc w:val="right"/>
              <w:rPr>
                <w:b/>
                <w:bCs/>
                <w:sz w:val="20"/>
              </w:rPr>
            </w:pPr>
            <w:r w:rsidRPr="00B34608">
              <w:rPr>
                <w:b/>
                <w:bCs/>
                <w:sz w:val="20"/>
              </w:rPr>
              <w:t>263</w:t>
            </w:r>
            <w:r>
              <w:rPr>
                <w:b/>
                <w:bCs/>
                <w:sz w:val="20"/>
              </w:rPr>
              <w:t>,</w:t>
            </w:r>
            <w:r w:rsidRPr="00B34608">
              <w:rPr>
                <w:b/>
                <w:bCs/>
                <w:sz w:val="20"/>
              </w:rPr>
              <w:t>712</w:t>
            </w:r>
            <w:r>
              <w:rPr>
                <w:b/>
                <w:bCs/>
                <w:sz w:val="20"/>
              </w:rPr>
              <w:t>,</w:t>
            </w:r>
            <w:r w:rsidRPr="00B34608">
              <w:rPr>
                <w:b/>
                <w:bCs/>
                <w:sz w:val="20"/>
              </w:rPr>
              <w:t>134</w:t>
            </w:r>
          </w:p>
        </w:tc>
      </w:tr>
      <w:tr w:rsidR="00D2569B" w:rsidRPr="00B34608" w:rsidTr="00B26CD3">
        <w:trPr>
          <w:trHeight w:val="57"/>
        </w:trPr>
        <w:tc>
          <w:tcPr>
            <w:tcW w:w="880" w:type="dxa"/>
            <w:vAlign w:val="bottom"/>
          </w:tcPr>
          <w:p w:rsidR="00D2569B" w:rsidRPr="00B34608" w:rsidRDefault="00D2569B" w:rsidP="004A089E">
            <w:pPr>
              <w:spacing w:line="276" w:lineRule="auto"/>
              <w:jc w:val="center"/>
              <w:rPr>
                <w:b/>
                <w:bCs/>
                <w:sz w:val="20"/>
              </w:rPr>
            </w:pPr>
          </w:p>
          <w:p w:rsidR="00D2569B" w:rsidRPr="00B34608" w:rsidRDefault="00D2569B" w:rsidP="004A089E">
            <w:pPr>
              <w:spacing w:line="276" w:lineRule="auto"/>
              <w:jc w:val="center"/>
              <w:rPr>
                <w:b/>
                <w:bCs/>
                <w:sz w:val="20"/>
              </w:rPr>
            </w:pPr>
          </w:p>
          <w:p w:rsidR="00D2569B" w:rsidRPr="00B34608" w:rsidRDefault="00D2569B" w:rsidP="004A089E">
            <w:pPr>
              <w:spacing w:line="276" w:lineRule="auto"/>
              <w:jc w:val="center"/>
              <w:rPr>
                <w:b/>
                <w:bCs/>
                <w:sz w:val="20"/>
              </w:rPr>
            </w:pPr>
          </w:p>
          <w:p w:rsidR="00D2569B" w:rsidRPr="00B34608" w:rsidRDefault="00D2569B" w:rsidP="004A089E">
            <w:pPr>
              <w:spacing w:line="276" w:lineRule="auto"/>
              <w:jc w:val="center"/>
              <w:rPr>
                <w:b/>
                <w:bCs/>
                <w:sz w:val="20"/>
              </w:rPr>
            </w:pPr>
          </w:p>
          <w:p w:rsidR="00D2569B" w:rsidRPr="00B34608" w:rsidRDefault="00D2569B" w:rsidP="004A089E">
            <w:pPr>
              <w:spacing w:line="276" w:lineRule="auto"/>
              <w:jc w:val="center"/>
              <w:rPr>
                <w:b/>
                <w:bCs/>
                <w:sz w:val="20"/>
              </w:rPr>
            </w:pPr>
          </w:p>
          <w:p w:rsidR="00D2569B" w:rsidRPr="00B34608" w:rsidRDefault="00D2569B" w:rsidP="004A089E">
            <w:pPr>
              <w:spacing w:line="276" w:lineRule="auto"/>
              <w:jc w:val="center"/>
              <w:rPr>
                <w:b/>
                <w:bCs/>
                <w:sz w:val="20"/>
              </w:rPr>
            </w:pPr>
          </w:p>
          <w:p w:rsidR="00D2569B" w:rsidRPr="00B34608" w:rsidRDefault="00D2569B" w:rsidP="004A089E">
            <w:pPr>
              <w:spacing w:line="276" w:lineRule="auto"/>
              <w:jc w:val="center"/>
              <w:rPr>
                <w:b/>
                <w:bCs/>
                <w:sz w:val="20"/>
              </w:rPr>
            </w:pPr>
          </w:p>
          <w:p w:rsidR="00D2569B" w:rsidRPr="00B34608" w:rsidRDefault="00D2569B" w:rsidP="004A089E">
            <w:pPr>
              <w:spacing w:line="276" w:lineRule="auto"/>
              <w:jc w:val="center"/>
              <w:rPr>
                <w:b/>
                <w:bCs/>
                <w:sz w:val="20"/>
              </w:rPr>
            </w:pPr>
          </w:p>
          <w:p w:rsidR="00D2569B" w:rsidRPr="00B34608" w:rsidRDefault="00D2569B" w:rsidP="00B26CD3">
            <w:pPr>
              <w:spacing w:line="276" w:lineRule="auto"/>
              <w:rPr>
                <w:b/>
                <w:bCs/>
                <w:sz w:val="20"/>
              </w:rPr>
            </w:pPr>
          </w:p>
        </w:tc>
        <w:tc>
          <w:tcPr>
            <w:tcW w:w="2622" w:type="dxa"/>
            <w:noWrap/>
            <w:vAlign w:val="center"/>
          </w:tcPr>
          <w:p w:rsidR="00D2569B" w:rsidRPr="00B34608" w:rsidRDefault="00D2569B" w:rsidP="004A089E">
            <w:pPr>
              <w:spacing w:line="276" w:lineRule="auto"/>
              <w:rPr>
                <w:b/>
                <w:bCs/>
                <w:sz w:val="20"/>
              </w:rPr>
            </w:pPr>
          </w:p>
          <w:p w:rsidR="00D2569B" w:rsidRPr="00B34608" w:rsidRDefault="00D2569B" w:rsidP="004A089E">
            <w:pPr>
              <w:spacing w:line="276" w:lineRule="auto"/>
              <w:rPr>
                <w:b/>
                <w:bCs/>
                <w:sz w:val="20"/>
              </w:rPr>
            </w:pPr>
          </w:p>
          <w:p w:rsidR="00D2569B" w:rsidRPr="00B34608" w:rsidRDefault="00D2569B" w:rsidP="004A089E">
            <w:pPr>
              <w:spacing w:line="276" w:lineRule="auto"/>
              <w:rPr>
                <w:b/>
                <w:bCs/>
                <w:sz w:val="20"/>
              </w:rPr>
            </w:pPr>
          </w:p>
          <w:p w:rsidR="00D2569B" w:rsidRPr="00B34608" w:rsidRDefault="00D2569B" w:rsidP="004A089E">
            <w:pPr>
              <w:spacing w:line="276" w:lineRule="auto"/>
              <w:rPr>
                <w:b/>
                <w:bCs/>
                <w:sz w:val="20"/>
              </w:rPr>
            </w:pPr>
          </w:p>
          <w:p w:rsidR="00D2569B" w:rsidRPr="00B34608" w:rsidRDefault="00D2569B" w:rsidP="004A089E">
            <w:pPr>
              <w:spacing w:line="276" w:lineRule="auto"/>
              <w:rPr>
                <w:b/>
                <w:bCs/>
                <w:sz w:val="20"/>
              </w:rPr>
            </w:pPr>
          </w:p>
          <w:p w:rsidR="00D2569B" w:rsidRPr="00B34608" w:rsidRDefault="00D2569B" w:rsidP="004A089E">
            <w:pPr>
              <w:spacing w:line="276" w:lineRule="auto"/>
              <w:rPr>
                <w:b/>
                <w:bCs/>
                <w:sz w:val="20"/>
              </w:rPr>
            </w:pPr>
          </w:p>
          <w:p w:rsidR="00D2569B" w:rsidRPr="00B34608" w:rsidRDefault="00D2569B" w:rsidP="004A089E">
            <w:pPr>
              <w:spacing w:line="276" w:lineRule="auto"/>
              <w:rPr>
                <w:b/>
                <w:bCs/>
                <w:sz w:val="20"/>
              </w:rPr>
            </w:pPr>
          </w:p>
          <w:p w:rsidR="00D2569B" w:rsidRPr="00B34608" w:rsidRDefault="00D2569B" w:rsidP="004A089E">
            <w:pPr>
              <w:spacing w:line="276" w:lineRule="auto"/>
              <w:rPr>
                <w:b/>
                <w:bCs/>
                <w:sz w:val="20"/>
              </w:rPr>
            </w:pPr>
          </w:p>
          <w:p w:rsidR="00D2569B" w:rsidRPr="00B34608" w:rsidRDefault="00D2569B" w:rsidP="004A089E">
            <w:pPr>
              <w:spacing w:line="276" w:lineRule="auto"/>
              <w:rPr>
                <w:b/>
                <w:bCs/>
                <w:sz w:val="20"/>
              </w:rPr>
            </w:pPr>
          </w:p>
          <w:p w:rsidR="00D2569B" w:rsidRPr="00B34608" w:rsidRDefault="00D2569B" w:rsidP="004A089E">
            <w:pPr>
              <w:spacing w:line="276" w:lineRule="auto"/>
              <w:rPr>
                <w:b/>
                <w:bCs/>
                <w:sz w:val="20"/>
              </w:rPr>
            </w:pPr>
          </w:p>
          <w:p w:rsidR="00D2569B" w:rsidRPr="00B34608" w:rsidRDefault="00D2569B" w:rsidP="004A089E">
            <w:pPr>
              <w:spacing w:line="276" w:lineRule="auto"/>
              <w:rPr>
                <w:b/>
                <w:bCs/>
                <w:sz w:val="20"/>
              </w:rPr>
            </w:pPr>
          </w:p>
          <w:p w:rsidR="00D2569B" w:rsidRPr="00B34608" w:rsidRDefault="00D2569B" w:rsidP="004A089E">
            <w:pPr>
              <w:spacing w:line="276" w:lineRule="auto"/>
              <w:rPr>
                <w:b/>
                <w:bCs/>
                <w:sz w:val="20"/>
              </w:rPr>
            </w:pPr>
          </w:p>
          <w:p w:rsidR="00D2569B" w:rsidRPr="00B34608" w:rsidRDefault="00D2569B" w:rsidP="004A089E">
            <w:pPr>
              <w:spacing w:line="276" w:lineRule="auto"/>
              <w:rPr>
                <w:b/>
                <w:bCs/>
                <w:sz w:val="20"/>
              </w:rPr>
            </w:pPr>
          </w:p>
          <w:p w:rsidR="00D2569B" w:rsidRPr="00B34608" w:rsidRDefault="00D2569B" w:rsidP="004A089E">
            <w:pPr>
              <w:spacing w:line="276" w:lineRule="auto"/>
              <w:rPr>
                <w:b/>
                <w:bCs/>
                <w:sz w:val="20"/>
              </w:rPr>
            </w:pPr>
          </w:p>
          <w:p w:rsidR="00D2569B" w:rsidRPr="00B34608" w:rsidRDefault="00D2569B" w:rsidP="004A089E">
            <w:pPr>
              <w:spacing w:line="276" w:lineRule="auto"/>
              <w:rPr>
                <w:b/>
                <w:bCs/>
                <w:sz w:val="20"/>
              </w:rPr>
            </w:pPr>
          </w:p>
          <w:p w:rsidR="00D2569B" w:rsidRPr="00B34608" w:rsidRDefault="00D2569B" w:rsidP="004A089E">
            <w:pPr>
              <w:spacing w:line="276" w:lineRule="auto"/>
              <w:rPr>
                <w:b/>
                <w:bCs/>
                <w:sz w:val="20"/>
              </w:rPr>
            </w:pPr>
          </w:p>
          <w:p w:rsidR="00D2569B" w:rsidRPr="00B34608" w:rsidRDefault="00D2569B" w:rsidP="004A089E">
            <w:pPr>
              <w:spacing w:line="276" w:lineRule="auto"/>
              <w:rPr>
                <w:b/>
                <w:bCs/>
                <w:sz w:val="20"/>
              </w:rPr>
            </w:pPr>
          </w:p>
          <w:p w:rsidR="00D2569B" w:rsidRPr="00B34608" w:rsidRDefault="00D2569B" w:rsidP="004A089E">
            <w:pPr>
              <w:spacing w:line="276" w:lineRule="auto"/>
              <w:rPr>
                <w:b/>
                <w:bCs/>
                <w:sz w:val="20"/>
              </w:rPr>
            </w:pPr>
          </w:p>
          <w:p w:rsidR="00D2569B" w:rsidRPr="00B34608" w:rsidRDefault="00D2569B" w:rsidP="004A089E">
            <w:pPr>
              <w:spacing w:line="276" w:lineRule="auto"/>
              <w:rPr>
                <w:b/>
                <w:bCs/>
                <w:sz w:val="20"/>
              </w:rPr>
            </w:pPr>
          </w:p>
        </w:tc>
        <w:tc>
          <w:tcPr>
            <w:tcW w:w="2405" w:type="dxa"/>
          </w:tcPr>
          <w:p w:rsidR="00D2569B" w:rsidRPr="00B34608" w:rsidRDefault="00D2569B" w:rsidP="00CA2BCD">
            <w:pPr>
              <w:spacing w:line="360" w:lineRule="auto"/>
              <w:ind w:left="231"/>
              <w:rPr>
                <w:sz w:val="18"/>
                <w:szCs w:val="18"/>
              </w:rPr>
            </w:pPr>
          </w:p>
        </w:tc>
        <w:tc>
          <w:tcPr>
            <w:tcW w:w="4158" w:type="dxa"/>
            <w:gridSpan w:val="4"/>
            <w:vAlign w:val="center"/>
          </w:tcPr>
          <w:p w:rsidR="00D2569B" w:rsidRPr="00B34608" w:rsidRDefault="00D2569B" w:rsidP="004A089E">
            <w:pPr>
              <w:spacing w:line="276" w:lineRule="auto"/>
              <w:rPr>
                <w:sz w:val="20"/>
              </w:rPr>
            </w:pPr>
          </w:p>
        </w:tc>
      </w:tr>
      <w:tr w:rsidR="00D2569B" w:rsidRPr="00B34608" w:rsidTr="00B26CD3">
        <w:trPr>
          <w:trHeight w:val="57"/>
        </w:trPr>
        <w:tc>
          <w:tcPr>
            <w:tcW w:w="880" w:type="dxa"/>
            <w:tcBorders>
              <w:bottom w:val="single" w:sz="4" w:space="0" w:color="auto"/>
            </w:tcBorders>
            <w:vAlign w:val="bottom"/>
          </w:tcPr>
          <w:p w:rsidR="00D2569B" w:rsidRPr="00B34608" w:rsidRDefault="00D2569B" w:rsidP="004A089E">
            <w:pPr>
              <w:spacing w:line="276" w:lineRule="auto"/>
              <w:jc w:val="center"/>
              <w:rPr>
                <w:b/>
                <w:bCs/>
                <w:sz w:val="20"/>
              </w:rPr>
            </w:pPr>
          </w:p>
        </w:tc>
        <w:tc>
          <w:tcPr>
            <w:tcW w:w="2622" w:type="dxa"/>
            <w:tcBorders>
              <w:bottom w:val="single" w:sz="4" w:space="0" w:color="auto"/>
            </w:tcBorders>
            <w:noWrap/>
            <w:vAlign w:val="center"/>
          </w:tcPr>
          <w:p w:rsidR="00D2569B" w:rsidRPr="00B34608" w:rsidRDefault="00D2569B" w:rsidP="004A089E">
            <w:pPr>
              <w:spacing w:line="276" w:lineRule="auto"/>
              <w:rPr>
                <w:b/>
                <w:bCs/>
                <w:sz w:val="20"/>
              </w:rPr>
            </w:pPr>
          </w:p>
        </w:tc>
        <w:tc>
          <w:tcPr>
            <w:tcW w:w="2405" w:type="dxa"/>
            <w:tcBorders>
              <w:bottom w:val="single" w:sz="4" w:space="0" w:color="auto"/>
            </w:tcBorders>
          </w:tcPr>
          <w:p w:rsidR="00D2569B" w:rsidRPr="00B34608" w:rsidRDefault="00D2569B" w:rsidP="00CA2BCD">
            <w:pPr>
              <w:spacing w:line="360" w:lineRule="auto"/>
              <w:ind w:left="231"/>
              <w:rPr>
                <w:sz w:val="18"/>
                <w:szCs w:val="18"/>
              </w:rPr>
            </w:pPr>
          </w:p>
        </w:tc>
        <w:tc>
          <w:tcPr>
            <w:tcW w:w="4158" w:type="dxa"/>
            <w:gridSpan w:val="4"/>
            <w:tcBorders>
              <w:bottom w:val="single" w:sz="4" w:space="0" w:color="auto"/>
            </w:tcBorders>
            <w:vAlign w:val="center"/>
          </w:tcPr>
          <w:p w:rsidR="00D2569B" w:rsidRPr="00B34608" w:rsidRDefault="00D2569B" w:rsidP="004A089E">
            <w:pPr>
              <w:spacing w:line="276" w:lineRule="auto"/>
              <w:rPr>
                <w:sz w:val="20"/>
              </w:rPr>
            </w:pPr>
          </w:p>
        </w:tc>
      </w:tr>
      <w:tr w:rsidR="00D2569B" w:rsidRPr="00B34608" w:rsidTr="002C0C47">
        <w:trPr>
          <w:trHeight w:val="57"/>
        </w:trPr>
        <w:tc>
          <w:tcPr>
            <w:tcW w:w="880"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CA2BCD">
            <w:pPr>
              <w:spacing w:line="276" w:lineRule="auto"/>
              <w:jc w:val="center"/>
              <w:rPr>
                <w:b/>
                <w:bCs/>
                <w:sz w:val="20"/>
              </w:rPr>
            </w:pPr>
            <w:r>
              <w:rPr>
                <w:b/>
                <w:bCs/>
                <w:sz w:val="20"/>
              </w:rPr>
              <w:t>Seq. No</w:t>
            </w:r>
          </w:p>
        </w:tc>
        <w:tc>
          <w:tcPr>
            <w:tcW w:w="5027" w:type="dxa"/>
            <w:gridSpan w:val="2"/>
            <w:tcBorders>
              <w:top w:val="single" w:sz="4" w:space="0" w:color="auto"/>
              <w:left w:val="nil"/>
              <w:bottom w:val="single" w:sz="4" w:space="0" w:color="auto"/>
              <w:right w:val="single" w:sz="4" w:space="0" w:color="000000"/>
            </w:tcBorders>
            <w:noWrap/>
            <w:vAlign w:val="center"/>
          </w:tcPr>
          <w:p w:rsidR="00D2569B" w:rsidRPr="00B34608" w:rsidRDefault="00D2569B" w:rsidP="00F55C6D">
            <w:pPr>
              <w:spacing w:line="276" w:lineRule="auto"/>
              <w:jc w:val="center"/>
              <w:rPr>
                <w:b/>
                <w:bCs/>
                <w:sz w:val="20"/>
              </w:rPr>
            </w:pPr>
            <w:r>
              <w:rPr>
                <w:b/>
                <w:bCs/>
                <w:sz w:val="20"/>
              </w:rPr>
              <w:t>Items</w:t>
            </w:r>
          </w:p>
        </w:tc>
        <w:tc>
          <w:tcPr>
            <w:tcW w:w="1040" w:type="dxa"/>
            <w:tcBorders>
              <w:top w:val="single" w:sz="4" w:space="0" w:color="auto"/>
              <w:left w:val="nil"/>
              <w:bottom w:val="single" w:sz="4" w:space="0" w:color="auto"/>
              <w:right w:val="nil"/>
            </w:tcBorders>
            <w:vAlign w:val="center"/>
          </w:tcPr>
          <w:p w:rsidR="00D2569B" w:rsidRPr="00B34608" w:rsidRDefault="00D2569B" w:rsidP="00F55C6D">
            <w:pPr>
              <w:spacing w:line="276" w:lineRule="auto"/>
              <w:jc w:val="center"/>
              <w:rPr>
                <w:b/>
                <w:bCs/>
                <w:sz w:val="20"/>
              </w:rPr>
            </w:pPr>
            <w:r>
              <w:rPr>
                <w:b/>
                <w:bCs/>
                <w:sz w:val="20"/>
              </w:rPr>
              <w:t>Note No</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55C6D">
            <w:pPr>
              <w:spacing w:line="276" w:lineRule="auto"/>
              <w:jc w:val="center"/>
              <w:rPr>
                <w:b/>
                <w:bCs/>
                <w:sz w:val="20"/>
              </w:rPr>
            </w:pPr>
            <w:r>
              <w:rPr>
                <w:b/>
                <w:bCs/>
                <w:sz w:val="20"/>
              </w:rPr>
              <w:t xml:space="preserve">31 12 </w:t>
            </w:r>
            <w:r w:rsidRPr="00B34608">
              <w:rPr>
                <w:b/>
                <w:bCs/>
                <w:sz w:val="20"/>
              </w:rPr>
              <w:t>2017</w:t>
            </w:r>
          </w:p>
        </w:tc>
        <w:tc>
          <w:tcPr>
            <w:tcW w:w="1672" w:type="dxa"/>
            <w:tcBorders>
              <w:top w:val="single" w:sz="4" w:space="0" w:color="auto"/>
              <w:left w:val="nil"/>
              <w:bottom w:val="single" w:sz="4" w:space="0" w:color="auto"/>
              <w:right w:val="single" w:sz="4" w:space="0" w:color="auto"/>
            </w:tcBorders>
            <w:vAlign w:val="center"/>
          </w:tcPr>
          <w:p w:rsidR="00D2569B" w:rsidRPr="00B34608" w:rsidRDefault="00D2569B" w:rsidP="00F55C6D">
            <w:pPr>
              <w:spacing w:line="276" w:lineRule="auto"/>
              <w:jc w:val="center"/>
              <w:rPr>
                <w:b/>
                <w:bCs/>
                <w:sz w:val="20"/>
              </w:rPr>
            </w:pPr>
            <w:r>
              <w:rPr>
                <w:b/>
                <w:bCs/>
                <w:sz w:val="20"/>
              </w:rPr>
              <w:t xml:space="preserve">31 12 </w:t>
            </w:r>
            <w:r w:rsidRPr="00B34608">
              <w:rPr>
                <w:b/>
                <w:bCs/>
                <w:sz w:val="20"/>
              </w:rPr>
              <w:t>2016</w:t>
            </w:r>
          </w:p>
        </w:tc>
      </w:tr>
      <w:tr w:rsidR="00D2569B" w:rsidRPr="00B34608" w:rsidTr="002C0C47">
        <w:trPr>
          <w:trHeight w:val="57"/>
        </w:trPr>
        <w:tc>
          <w:tcPr>
            <w:tcW w:w="880"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731ED6">
            <w:pPr>
              <w:spacing w:line="276" w:lineRule="auto"/>
              <w:jc w:val="center"/>
              <w:rPr>
                <w:b/>
                <w:bCs/>
                <w:sz w:val="20"/>
              </w:rPr>
            </w:pPr>
            <w:r w:rsidRPr="00B34608">
              <w:rPr>
                <w:b/>
                <w:bCs/>
                <w:sz w:val="20"/>
              </w:rPr>
              <w:t>D.</w:t>
            </w:r>
          </w:p>
        </w:tc>
        <w:tc>
          <w:tcPr>
            <w:tcW w:w="2622" w:type="dxa"/>
            <w:tcBorders>
              <w:top w:val="single" w:sz="4" w:space="0" w:color="auto"/>
              <w:left w:val="single" w:sz="4" w:space="0" w:color="auto"/>
              <w:bottom w:val="single" w:sz="4" w:space="0" w:color="auto"/>
            </w:tcBorders>
            <w:noWrap/>
            <w:vAlign w:val="center"/>
          </w:tcPr>
          <w:p w:rsidR="00D2569B" w:rsidRPr="00B34608" w:rsidRDefault="00D2569B" w:rsidP="004A089E">
            <w:pPr>
              <w:spacing w:line="276" w:lineRule="auto"/>
              <w:rPr>
                <w:b/>
                <w:bCs/>
                <w:sz w:val="20"/>
              </w:rPr>
            </w:pPr>
            <w:r>
              <w:rPr>
                <w:b/>
                <w:bCs/>
                <w:sz w:val="20"/>
              </w:rPr>
              <w:t>FINANCING AMOUNTS</w:t>
            </w:r>
          </w:p>
        </w:tc>
        <w:tc>
          <w:tcPr>
            <w:tcW w:w="2405" w:type="dxa"/>
            <w:tcBorders>
              <w:top w:val="single" w:sz="4" w:space="0" w:color="auto"/>
              <w:bottom w:val="single" w:sz="4" w:space="0" w:color="auto"/>
              <w:right w:val="single" w:sz="4" w:space="0" w:color="auto"/>
            </w:tcBorders>
            <w:vAlign w:val="center"/>
          </w:tcPr>
          <w:p w:rsidR="00D2569B" w:rsidRPr="00B34608" w:rsidRDefault="00D2569B" w:rsidP="004A089E">
            <w:pPr>
              <w:spacing w:line="276" w:lineRule="auto"/>
              <w:rPr>
                <w:b/>
                <w:bCs/>
                <w:sz w:val="20"/>
              </w:rPr>
            </w:pPr>
            <w:r w:rsidRPr="00B34608">
              <w:rPr>
                <w:b/>
                <w:bCs/>
                <w:sz w:val="20"/>
              </w:rPr>
              <w:t> </w:t>
            </w:r>
          </w:p>
        </w:tc>
        <w:tc>
          <w:tcPr>
            <w:tcW w:w="1040" w:type="dxa"/>
            <w:tcBorders>
              <w:top w:val="single" w:sz="4" w:space="0" w:color="auto"/>
              <w:left w:val="single" w:sz="4" w:space="0" w:color="auto"/>
              <w:bottom w:val="single" w:sz="4" w:space="0" w:color="auto"/>
              <w:right w:val="nil"/>
            </w:tcBorders>
            <w:vAlign w:val="center"/>
          </w:tcPr>
          <w:p w:rsidR="00D2569B" w:rsidRPr="00B34608" w:rsidRDefault="00D2569B" w:rsidP="004A089E">
            <w:pPr>
              <w:spacing w:line="276" w:lineRule="auto"/>
              <w:rPr>
                <w:sz w:val="20"/>
              </w:rPr>
            </w:pPr>
            <w:r w:rsidRPr="00B34608">
              <w:rPr>
                <w:sz w:val="20"/>
              </w:rPr>
              <w:t>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single" w:sz="4" w:space="0" w:color="auto"/>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2C0C47">
        <w:trPr>
          <w:trHeight w:val="57"/>
        </w:trPr>
        <w:tc>
          <w:tcPr>
            <w:tcW w:w="880"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sz w:val="20"/>
              </w:rPr>
            </w:pPr>
            <w:r w:rsidRPr="00B34608">
              <w:rPr>
                <w:sz w:val="20"/>
              </w:rPr>
              <w:t>I.</w:t>
            </w:r>
          </w:p>
        </w:tc>
        <w:tc>
          <w:tcPr>
            <w:tcW w:w="2622" w:type="dxa"/>
            <w:tcBorders>
              <w:top w:val="single" w:sz="4" w:space="0" w:color="auto"/>
              <w:left w:val="single" w:sz="4" w:space="0" w:color="auto"/>
              <w:bottom w:val="single" w:sz="4" w:space="0" w:color="auto"/>
            </w:tcBorders>
            <w:noWrap/>
            <w:vAlign w:val="center"/>
          </w:tcPr>
          <w:p w:rsidR="00D2569B" w:rsidRPr="00B34608" w:rsidRDefault="00D2569B" w:rsidP="004A089E">
            <w:pPr>
              <w:spacing w:line="276" w:lineRule="auto"/>
              <w:rPr>
                <w:sz w:val="20"/>
              </w:rPr>
            </w:pPr>
            <w:r>
              <w:rPr>
                <w:sz w:val="20"/>
              </w:rPr>
              <w:t>From the State Budget</w:t>
            </w:r>
            <w:r w:rsidRPr="00B34608">
              <w:rPr>
                <w:sz w:val="20"/>
              </w:rPr>
              <w:t xml:space="preserve"> </w:t>
            </w:r>
          </w:p>
        </w:tc>
        <w:tc>
          <w:tcPr>
            <w:tcW w:w="2405" w:type="dxa"/>
            <w:tcBorders>
              <w:top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040" w:type="dxa"/>
            <w:tcBorders>
              <w:top w:val="single" w:sz="4" w:space="0" w:color="auto"/>
              <w:left w:val="single" w:sz="4" w:space="0" w:color="auto"/>
              <w:bottom w:val="single" w:sz="4" w:space="0" w:color="auto"/>
              <w:right w:val="nil"/>
            </w:tcBorders>
            <w:vAlign w:val="center"/>
          </w:tcPr>
          <w:p w:rsidR="00D2569B" w:rsidRPr="00B34608" w:rsidRDefault="00D2569B" w:rsidP="004A089E">
            <w:pPr>
              <w:spacing w:line="276" w:lineRule="auto"/>
              <w:rPr>
                <w:sz w:val="20"/>
              </w:rPr>
            </w:pPr>
            <w:r w:rsidRPr="00B34608">
              <w:rPr>
                <w:sz w:val="20"/>
              </w:rPr>
              <w:t>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single" w:sz="4" w:space="0" w:color="auto"/>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2C0C47">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sz w:val="20"/>
              </w:rPr>
            </w:pPr>
            <w:r w:rsidRPr="00B34608">
              <w:rPr>
                <w:sz w:val="20"/>
              </w:rPr>
              <w:t>II.</w:t>
            </w:r>
          </w:p>
        </w:tc>
        <w:tc>
          <w:tcPr>
            <w:tcW w:w="2622" w:type="dxa"/>
            <w:tcBorders>
              <w:top w:val="single" w:sz="4" w:space="0" w:color="auto"/>
              <w:left w:val="single" w:sz="4" w:space="0" w:color="auto"/>
              <w:bottom w:val="single" w:sz="4" w:space="0" w:color="auto"/>
            </w:tcBorders>
            <w:noWrap/>
            <w:vAlign w:val="center"/>
          </w:tcPr>
          <w:p w:rsidR="00D2569B" w:rsidRPr="00B34608" w:rsidRDefault="00D2569B" w:rsidP="004A089E">
            <w:pPr>
              <w:spacing w:line="276" w:lineRule="auto"/>
              <w:rPr>
                <w:sz w:val="20"/>
              </w:rPr>
            </w:pPr>
            <w:r>
              <w:rPr>
                <w:sz w:val="20"/>
              </w:rPr>
              <w:t>From the municipal budget</w:t>
            </w:r>
          </w:p>
        </w:tc>
        <w:tc>
          <w:tcPr>
            <w:tcW w:w="2405" w:type="dxa"/>
            <w:tcBorders>
              <w:top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04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rPr>
                <w:sz w:val="20"/>
              </w:rPr>
            </w:pPr>
            <w:r w:rsidRPr="00B34608">
              <w:rPr>
                <w:sz w:val="20"/>
              </w:rPr>
              <w:t> </w:t>
            </w: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2C0C47">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sz w:val="20"/>
              </w:rPr>
            </w:pPr>
            <w:r w:rsidRPr="00B34608">
              <w:rPr>
                <w:sz w:val="20"/>
              </w:rPr>
              <w:t>III.</w:t>
            </w:r>
          </w:p>
        </w:tc>
        <w:tc>
          <w:tcPr>
            <w:tcW w:w="5027" w:type="dxa"/>
            <w:gridSpan w:val="2"/>
            <w:tcBorders>
              <w:top w:val="single" w:sz="4" w:space="0" w:color="auto"/>
              <w:left w:val="nil"/>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 xml:space="preserve">From the </w:t>
            </w:r>
            <w:r w:rsidRPr="00B34608">
              <w:rPr>
                <w:sz w:val="20"/>
              </w:rPr>
              <w:t>E</w:t>
            </w:r>
            <w:r>
              <w:rPr>
                <w:sz w:val="20"/>
              </w:rPr>
              <w:t>U</w:t>
            </w:r>
            <w:r w:rsidRPr="00B34608">
              <w:rPr>
                <w:sz w:val="20"/>
              </w:rPr>
              <w:t>,</w:t>
            </w:r>
            <w:r>
              <w:rPr>
                <w:sz w:val="20"/>
              </w:rPr>
              <w:t xml:space="preserve"> foreign countries and international organisations</w:t>
            </w:r>
          </w:p>
        </w:tc>
        <w:tc>
          <w:tcPr>
            <w:tcW w:w="1040" w:type="dxa"/>
            <w:tcBorders>
              <w:top w:val="nil"/>
              <w:left w:val="nil"/>
              <w:bottom w:val="single" w:sz="4" w:space="0" w:color="auto"/>
              <w:right w:val="nil"/>
            </w:tcBorders>
            <w:vAlign w:val="center"/>
          </w:tcPr>
          <w:p w:rsidR="00D2569B" w:rsidRPr="00B34608" w:rsidRDefault="00D2569B" w:rsidP="004A089E">
            <w:pPr>
              <w:spacing w:line="276" w:lineRule="auto"/>
              <w:rPr>
                <w:sz w:val="20"/>
              </w:rPr>
            </w:pPr>
            <w:r w:rsidRPr="00B34608">
              <w:rPr>
                <w:sz w:val="20"/>
              </w:rPr>
              <w:t> </w:t>
            </w: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2C0C47">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sz w:val="20"/>
              </w:rPr>
            </w:pPr>
            <w:r w:rsidRPr="00B34608">
              <w:rPr>
                <w:sz w:val="20"/>
              </w:rPr>
              <w:t xml:space="preserve">IV. </w:t>
            </w:r>
          </w:p>
        </w:tc>
        <w:tc>
          <w:tcPr>
            <w:tcW w:w="2622" w:type="dxa"/>
            <w:tcBorders>
              <w:top w:val="single" w:sz="4" w:space="0" w:color="auto"/>
              <w:left w:val="single" w:sz="4" w:space="0" w:color="auto"/>
              <w:bottom w:val="single" w:sz="4" w:space="0" w:color="auto"/>
            </w:tcBorders>
            <w:noWrap/>
            <w:vAlign w:val="center"/>
          </w:tcPr>
          <w:p w:rsidR="00D2569B" w:rsidRPr="00B34608" w:rsidRDefault="00D2569B" w:rsidP="004A089E">
            <w:pPr>
              <w:spacing w:line="276" w:lineRule="auto"/>
              <w:rPr>
                <w:sz w:val="20"/>
              </w:rPr>
            </w:pPr>
            <w:r>
              <w:rPr>
                <w:sz w:val="20"/>
              </w:rPr>
              <w:t>From other sources</w:t>
            </w:r>
          </w:p>
        </w:tc>
        <w:tc>
          <w:tcPr>
            <w:tcW w:w="2405" w:type="dxa"/>
            <w:tcBorders>
              <w:top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04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rPr>
                <w:sz w:val="20"/>
              </w:rPr>
            </w:pPr>
            <w:r w:rsidRPr="00B34608">
              <w:rPr>
                <w:sz w:val="20"/>
              </w:rPr>
              <w:t> </w:t>
            </w: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2C0C47">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b/>
                <w:bCs/>
                <w:sz w:val="20"/>
              </w:rPr>
            </w:pPr>
            <w:r w:rsidRPr="00B34608">
              <w:rPr>
                <w:b/>
                <w:bCs/>
                <w:sz w:val="20"/>
              </w:rPr>
              <w:t>E.</w:t>
            </w:r>
          </w:p>
        </w:tc>
        <w:tc>
          <w:tcPr>
            <w:tcW w:w="2622" w:type="dxa"/>
            <w:tcBorders>
              <w:top w:val="single" w:sz="4" w:space="0" w:color="auto"/>
              <w:left w:val="single" w:sz="4" w:space="0" w:color="auto"/>
              <w:bottom w:val="single" w:sz="4" w:space="0" w:color="auto"/>
            </w:tcBorders>
            <w:noWrap/>
            <w:vAlign w:val="center"/>
          </w:tcPr>
          <w:p w:rsidR="00D2569B" w:rsidRPr="00B34608" w:rsidRDefault="00D2569B" w:rsidP="004A089E">
            <w:pPr>
              <w:spacing w:line="276" w:lineRule="auto"/>
              <w:rPr>
                <w:b/>
                <w:bCs/>
                <w:sz w:val="20"/>
              </w:rPr>
            </w:pPr>
            <w:r>
              <w:rPr>
                <w:b/>
                <w:bCs/>
                <w:sz w:val="20"/>
              </w:rPr>
              <w:t>LIABILITIES</w:t>
            </w:r>
          </w:p>
        </w:tc>
        <w:tc>
          <w:tcPr>
            <w:tcW w:w="2405" w:type="dxa"/>
            <w:tcBorders>
              <w:top w:val="single" w:sz="4" w:space="0" w:color="auto"/>
              <w:bottom w:val="single" w:sz="4" w:space="0" w:color="auto"/>
              <w:right w:val="single" w:sz="4" w:space="0" w:color="auto"/>
            </w:tcBorders>
            <w:vAlign w:val="center"/>
          </w:tcPr>
          <w:p w:rsidR="00D2569B" w:rsidRPr="00B34608" w:rsidRDefault="00D2569B" w:rsidP="004A089E">
            <w:pPr>
              <w:spacing w:line="276" w:lineRule="auto"/>
              <w:rPr>
                <w:b/>
                <w:bCs/>
                <w:sz w:val="20"/>
              </w:rPr>
            </w:pPr>
            <w:r w:rsidRPr="00B34608">
              <w:rPr>
                <w:b/>
                <w:bCs/>
                <w:sz w:val="20"/>
              </w:rPr>
              <w:t> </w:t>
            </w:r>
          </w:p>
        </w:tc>
        <w:tc>
          <w:tcPr>
            <w:tcW w:w="104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rPr>
                <w:sz w:val="20"/>
              </w:rPr>
            </w:pPr>
            <w:r w:rsidRPr="00B34608">
              <w:rPr>
                <w:sz w:val="20"/>
              </w:rPr>
              <w:t> </w:t>
            </w: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right"/>
              <w:rPr>
                <w:b/>
                <w:bCs/>
                <w:sz w:val="20"/>
              </w:rPr>
            </w:pPr>
            <w:r>
              <w:rPr>
                <w:b/>
                <w:bCs/>
                <w:sz w:val="20"/>
              </w:rPr>
              <w:t>8,</w:t>
            </w:r>
            <w:r w:rsidRPr="00B34608">
              <w:rPr>
                <w:b/>
                <w:bCs/>
                <w:sz w:val="20"/>
              </w:rPr>
              <w:t>362</w:t>
            </w:r>
            <w:r>
              <w:rPr>
                <w:b/>
                <w:bCs/>
                <w:sz w:val="20"/>
              </w:rPr>
              <w:t>,</w:t>
            </w:r>
            <w:r w:rsidRPr="00B34608">
              <w:rPr>
                <w:b/>
                <w:bCs/>
                <w:sz w:val="20"/>
              </w:rPr>
              <w:t>965</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b/>
                <w:bCs/>
                <w:sz w:val="20"/>
              </w:rPr>
            </w:pPr>
            <w:r>
              <w:rPr>
                <w:b/>
                <w:bCs/>
                <w:sz w:val="20"/>
              </w:rPr>
              <w:t>64,</w:t>
            </w:r>
            <w:r w:rsidRPr="00B34608">
              <w:rPr>
                <w:b/>
                <w:bCs/>
                <w:sz w:val="20"/>
              </w:rPr>
              <w:t>489</w:t>
            </w:r>
            <w:r>
              <w:rPr>
                <w:b/>
                <w:bCs/>
                <w:sz w:val="20"/>
              </w:rPr>
              <w:t>,</w:t>
            </w:r>
            <w:r w:rsidRPr="00B34608">
              <w:rPr>
                <w:b/>
                <w:bCs/>
                <w:sz w:val="20"/>
              </w:rPr>
              <w:t>974</w:t>
            </w:r>
          </w:p>
        </w:tc>
      </w:tr>
      <w:tr w:rsidR="00D2569B" w:rsidRPr="00B34608" w:rsidTr="002C0C47">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sz w:val="20"/>
              </w:rPr>
            </w:pPr>
            <w:r w:rsidRPr="00B34608">
              <w:rPr>
                <w:sz w:val="20"/>
              </w:rPr>
              <w:t>I.</w:t>
            </w:r>
          </w:p>
        </w:tc>
        <w:tc>
          <w:tcPr>
            <w:tcW w:w="2622" w:type="dxa"/>
            <w:tcBorders>
              <w:top w:val="single" w:sz="4" w:space="0" w:color="auto"/>
              <w:left w:val="single" w:sz="4" w:space="0" w:color="auto"/>
              <w:bottom w:val="single" w:sz="4" w:space="0" w:color="auto"/>
            </w:tcBorders>
            <w:noWrap/>
            <w:vAlign w:val="center"/>
          </w:tcPr>
          <w:p w:rsidR="00D2569B" w:rsidRPr="00B34608" w:rsidRDefault="00D2569B" w:rsidP="004A089E">
            <w:pPr>
              <w:spacing w:line="276" w:lineRule="auto"/>
              <w:rPr>
                <w:sz w:val="20"/>
              </w:rPr>
            </w:pPr>
            <w:r>
              <w:rPr>
                <w:sz w:val="20"/>
              </w:rPr>
              <w:t>Long-term liabilities</w:t>
            </w:r>
          </w:p>
        </w:tc>
        <w:tc>
          <w:tcPr>
            <w:tcW w:w="2405" w:type="dxa"/>
            <w:tcBorders>
              <w:top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04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rPr>
                <w:sz w:val="20"/>
              </w:rPr>
            </w:pPr>
            <w:r w:rsidRPr="00B34608">
              <w:rPr>
                <w:sz w:val="20"/>
              </w:rPr>
              <w:t> </w:t>
            </w: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right"/>
              <w:rPr>
                <w:sz w:val="20"/>
              </w:rPr>
            </w:pPr>
            <w:r w:rsidRPr="00B34608">
              <w:rPr>
                <w:sz w:val="20"/>
              </w:rPr>
              <w:t>0</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sz w:val="20"/>
              </w:rPr>
            </w:pPr>
            <w:r>
              <w:rPr>
                <w:sz w:val="20"/>
              </w:rPr>
              <w:t>62,</w:t>
            </w:r>
            <w:r w:rsidRPr="00B34608">
              <w:rPr>
                <w:sz w:val="20"/>
              </w:rPr>
              <w:t>264</w:t>
            </w:r>
            <w:r>
              <w:rPr>
                <w:sz w:val="20"/>
              </w:rPr>
              <w:t>,</w:t>
            </w:r>
            <w:r w:rsidRPr="00B34608">
              <w:rPr>
                <w:sz w:val="20"/>
              </w:rPr>
              <w:t>594</w:t>
            </w:r>
          </w:p>
        </w:tc>
      </w:tr>
      <w:tr w:rsidR="00D2569B" w:rsidRPr="00B34608" w:rsidTr="002C0C47">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I.1</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Long-term financial</w:t>
            </w:r>
            <w:r w:rsidRPr="00B34608">
              <w:rPr>
                <w:sz w:val="20"/>
              </w:rPr>
              <w:t xml:space="preserve"> </w:t>
            </w:r>
            <w:r>
              <w:rPr>
                <w:sz w:val="20"/>
              </w:rPr>
              <w:t>liabilities</w:t>
            </w:r>
          </w:p>
        </w:tc>
        <w:tc>
          <w:tcPr>
            <w:tcW w:w="1040" w:type="dxa"/>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r w:rsidRPr="00B34608">
              <w:rPr>
                <w:sz w:val="20"/>
              </w:rPr>
              <w:t>5</w:t>
            </w: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right"/>
              <w:rPr>
                <w:sz w:val="20"/>
              </w:rPr>
            </w:pPr>
            <w:r w:rsidRPr="00B34608">
              <w:rPr>
                <w:sz w:val="20"/>
              </w:rPr>
              <w:t>0</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sz w:val="20"/>
              </w:rPr>
            </w:pPr>
            <w:r>
              <w:rPr>
                <w:sz w:val="20"/>
              </w:rPr>
              <w:t>62,</w:t>
            </w:r>
            <w:r w:rsidRPr="00B34608">
              <w:rPr>
                <w:sz w:val="20"/>
              </w:rPr>
              <w:t>264</w:t>
            </w:r>
            <w:r>
              <w:rPr>
                <w:sz w:val="20"/>
              </w:rPr>
              <w:t>,</w:t>
            </w:r>
            <w:r w:rsidRPr="00B34608">
              <w:rPr>
                <w:sz w:val="20"/>
              </w:rPr>
              <w:t>594</w:t>
            </w:r>
          </w:p>
        </w:tc>
      </w:tr>
      <w:tr w:rsidR="00D2569B" w:rsidRPr="00B34608" w:rsidTr="002C0C47">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I.2</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Long-term provisions</w:t>
            </w:r>
          </w:p>
        </w:tc>
        <w:tc>
          <w:tcPr>
            <w:tcW w:w="1040" w:type="dxa"/>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2C0C47">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I.3</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Other long-term liabilities</w:t>
            </w:r>
          </w:p>
        </w:tc>
        <w:tc>
          <w:tcPr>
            <w:tcW w:w="1040" w:type="dxa"/>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2C0C47">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sz w:val="20"/>
              </w:rPr>
            </w:pPr>
            <w:r w:rsidRPr="00B34608">
              <w:rPr>
                <w:sz w:val="20"/>
              </w:rPr>
              <w:t>II.</w:t>
            </w:r>
          </w:p>
        </w:tc>
        <w:tc>
          <w:tcPr>
            <w:tcW w:w="5027" w:type="dxa"/>
            <w:gridSpan w:val="2"/>
            <w:tcBorders>
              <w:top w:val="single" w:sz="4" w:space="0" w:color="auto"/>
              <w:left w:val="single" w:sz="4" w:space="0" w:color="auto"/>
              <w:bottom w:val="single" w:sz="4" w:space="0" w:color="auto"/>
              <w:right w:val="single" w:sz="4" w:space="0" w:color="000000"/>
            </w:tcBorders>
            <w:noWrap/>
            <w:vAlign w:val="center"/>
          </w:tcPr>
          <w:p w:rsidR="00D2569B" w:rsidRPr="00B34608" w:rsidRDefault="00D2569B" w:rsidP="004A089E">
            <w:pPr>
              <w:spacing w:line="276" w:lineRule="auto"/>
              <w:rPr>
                <w:sz w:val="20"/>
              </w:rPr>
            </w:pPr>
            <w:r>
              <w:rPr>
                <w:sz w:val="20"/>
              </w:rPr>
              <w:t>Short-term</w:t>
            </w:r>
            <w:r w:rsidRPr="00B34608">
              <w:rPr>
                <w:sz w:val="20"/>
              </w:rPr>
              <w:t xml:space="preserve"> </w:t>
            </w:r>
            <w:r>
              <w:rPr>
                <w:sz w:val="20"/>
              </w:rPr>
              <w:t>liabilities</w:t>
            </w:r>
          </w:p>
        </w:tc>
        <w:tc>
          <w:tcPr>
            <w:tcW w:w="1040" w:type="dxa"/>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r w:rsidRPr="00B34608">
              <w:rPr>
                <w:sz w:val="20"/>
              </w:rPr>
              <w:t>6</w:t>
            </w: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right"/>
              <w:rPr>
                <w:sz w:val="20"/>
              </w:rPr>
            </w:pPr>
            <w:r>
              <w:rPr>
                <w:sz w:val="20"/>
              </w:rPr>
              <w:t>8,</w:t>
            </w:r>
            <w:r w:rsidRPr="00B34608">
              <w:rPr>
                <w:sz w:val="20"/>
              </w:rPr>
              <w:t>362</w:t>
            </w:r>
            <w:r>
              <w:rPr>
                <w:sz w:val="20"/>
              </w:rPr>
              <w:t>,</w:t>
            </w:r>
            <w:r w:rsidRPr="00B34608">
              <w:rPr>
                <w:sz w:val="20"/>
              </w:rPr>
              <w:t>965</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sz w:val="20"/>
              </w:rPr>
            </w:pPr>
            <w:r>
              <w:rPr>
                <w:sz w:val="20"/>
              </w:rPr>
              <w:t>2,</w:t>
            </w:r>
            <w:r w:rsidRPr="00B34608">
              <w:rPr>
                <w:sz w:val="20"/>
              </w:rPr>
              <w:t>225</w:t>
            </w:r>
            <w:r>
              <w:rPr>
                <w:sz w:val="20"/>
              </w:rPr>
              <w:t>,</w:t>
            </w:r>
            <w:r w:rsidRPr="00B34608">
              <w:rPr>
                <w:sz w:val="20"/>
              </w:rPr>
              <w:t>380</w:t>
            </w:r>
          </w:p>
        </w:tc>
      </w:tr>
      <w:tr w:rsidR="00D2569B" w:rsidRPr="00B34608" w:rsidTr="002C0C47">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II.1</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Current year’s portion of long-term provisions and short-term provisions</w:t>
            </w:r>
          </w:p>
        </w:tc>
        <w:tc>
          <w:tcPr>
            <w:tcW w:w="1040" w:type="dxa"/>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2C0C47">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II.2</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Current year’s portion of long-term liabilities</w:t>
            </w:r>
            <w:r w:rsidRPr="00B34608">
              <w:rPr>
                <w:sz w:val="20"/>
              </w:rPr>
              <w:t xml:space="preserve"> </w:t>
            </w:r>
          </w:p>
        </w:tc>
        <w:tc>
          <w:tcPr>
            <w:tcW w:w="1040" w:type="dxa"/>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2C0C47">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II.3</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Short-term</w:t>
            </w:r>
            <w:r w:rsidRPr="00B34608">
              <w:rPr>
                <w:sz w:val="20"/>
              </w:rPr>
              <w:t xml:space="preserve"> </w:t>
            </w:r>
            <w:r>
              <w:rPr>
                <w:sz w:val="20"/>
              </w:rPr>
              <w:t>financial</w:t>
            </w:r>
            <w:r w:rsidRPr="00B34608">
              <w:rPr>
                <w:sz w:val="20"/>
              </w:rPr>
              <w:t xml:space="preserve"> </w:t>
            </w:r>
            <w:r>
              <w:rPr>
                <w:sz w:val="20"/>
              </w:rPr>
              <w:t>liabilities</w:t>
            </w:r>
          </w:p>
        </w:tc>
        <w:tc>
          <w:tcPr>
            <w:tcW w:w="1040" w:type="dxa"/>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right"/>
              <w:rPr>
                <w:sz w:val="20"/>
              </w:rPr>
            </w:pPr>
            <w:r w:rsidRPr="00B34608">
              <w:rPr>
                <w:sz w:val="20"/>
              </w:rPr>
              <w:t>0</w:t>
            </w:r>
          </w:p>
        </w:tc>
        <w:tc>
          <w:tcPr>
            <w:tcW w:w="1672" w:type="dxa"/>
            <w:tcBorders>
              <w:top w:val="nil"/>
              <w:left w:val="nil"/>
              <w:bottom w:val="single" w:sz="4" w:space="0" w:color="auto"/>
              <w:right w:val="single" w:sz="4" w:space="0" w:color="auto"/>
            </w:tcBorders>
            <w:vAlign w:val="center"/>
          </w:tcPr>
          <w:p w:rsidR="00D2569B" w:rsidRPr="00B34608" w:rsidRDefault="00D2569B" w:rsidP="00B26CD3">
            <w:pPr>
              <w:spacing w:line="276" w:lineRule="auto"/>
              <w:jc w:val="right"/>
              <w:rPr>
                <w:sz w:val="20"/>
              </w:rPr>
            </w:pPr>
            <w:r w:rsidRPr="00B34608">
              <w:rPr>
                <w:sz w:val="20"/>
              </w:rPr>
              <w:t> 290</w:t>
            </w:r>
            <w:r>
              <w:rPr>
                <w:sz w:val="20"/>
              </w:rPr>
              <w:t>,</w:t>
            </w:r>
            <w:r w:rsidRPr="00B34608">
              <w:rPr>
                <w:sz w:val="20"/>
              </w:rPr>
              <w:t>672</w:t>
            </w:r>
          </w:p>
        </w:tc>
      </w:tr>
      <w:tr w:rsidR="00D2569B" w:rsidRPr="00B34608" w:rsidTr="002C0C47">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II.4</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Payable subsidies</w:t>
            </w:r>
            <w:r w:rsidRPr="00B34608">
              <w:rPr>
                <w:sz w:val="20"/>
              </w:rPr>
              <w:t xml:space="preserve">, </w:t>
            </w:r>
            <w:r>
              <w:rPr>
                <w:sz w:val="20"/>
              </w:rPr>
              <w:t xml:space="preserve">grants and financing amounts </w:t>
            </w:r>
          </w:p>
        </w:tc>
        <w:tc>
          <w:tcPr>
            <w:tcW w:w="1040" w:type="dxa"/>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2C0C47">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II.5</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 xml:space="preserve">Amounts payable to the EU budget </w:t>
            </w:r>
          </w:p>
        </w:tc>
        <w:tc>
          <w:tcPr>
            <w:tcW w:w="1040" w:type="dxa"/>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2C0C47">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II.6</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Amounts payable to budgets and funds</w:t>
            </w:r>
          </w:p>
        </w:tc>
        <w:tc>
          <w:tcPr>
            <w:tcW w:w="1040" w:type="dxa"/>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2C0C47">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II.7</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Payable social benefits</w:t>
            </w:r>
          </w:p>
        </w:tc>
        <w:tc>
          <w:tcPr>
            <w:tcW w:w="1040" w:type="dxa"/>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2C0C47">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II.8</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Refundable taxes</w:t>
            </w:r>
            <w:r w:rsidRPr="00B34608">
              <w:rPr>
                <w:sz w:val="20"/>
              </w:rPr>
              <w:t xml:space="preserve">, </w:t>
            </w:r>
            <w:r>
              <w:rPr>
                <w:sz w:val="20"/>
              </w:rPr>
              <w:t>contributions and their overpayments</w:t>
            </w:r>
          </w:p>
        </w:tc>
        <w:tc>
          <w:tcPr>
            <w:tcW w:w="1040" w:type="dxa"/>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2C0C47">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II.9</w:t>
            </w:r>
            <w:r w:rsidRPr="00B34608">
              <w:rPr>
                <w:strike/>
                <w:sz w:val="20"/>
              </w:rPr>
              <w:t xml:space="preserve"> </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sidRPr="00B34608">
              <w:rPr>
                <w:sz w:val="20"/>
              </w:rPr>
              <w:t>T</w:t>
            </w:r>
            <w:r>
              <w:rPr>
                <w:sz w:val="20"/>
              </w:rPr>
              <w:t>rade payables</w:t>
            </w:r>
          </w:p>
        </w:tc>
        <w:tc>
          <w:tcPr>
            <w:tcW w:w="1040" w:type="dxa"/>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2C0C47">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II.10</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Accrued payables</w:t>
            </w:r>
          </w:p>
        </w:tc>
        <w:tc>
          <w:tcPr>
            <w:tcW w:w="1040" w:type="dxa"/>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right"/>
              <w:rPr>
                <w:sz w:val="20"/>
              </w:rPr>
            </w:pPr>
            <w:r>
              <w:rPr>
                <w:sz w:val="20"/>
              </w:rPr>
              <w:t>8,</w:t>
            </w:r>
            <w:r w:rsidRPr="00B34608">
              <w:rPr>
                <w:sz w:val="20"/>
              </w:rPr>
              <w:t>344</w:t>
            </w:r>
            <w:r>
              <w:rPr>
                <w:sz w:val="20"/>
              </w:rPr>
              <w:t>,</w:t>
            </w:r>
            <w:r w:rsidRPr="00B34608">
              <w:rPr>
                <w:sz w:val="20"/>
              </w:rPr>
              <w:t>474</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sz w:val="20"/>
              </w:rPr>
            </w:pPr>
            <w:r>
              <w:rPr>
                <w:sz w:val="20"/>
              </w:rPr>
              <w:t>1,898,</w:t>
            </w:r>
            <w:r w:rsidRPr="00B34608">
              <w:rPr>
                <w:sz w:val="20"/>
              </w:rPr>
              <w:t>718</w:t>
            </w:r>
          </w:p>
        </w:tc>
      </w:tr>
      <w:tr w:rsidR="00D2569B" w:rsidRPr="00B34608" w:rsidTr="002C0C47">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II.11</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2569B" w:rsidRPr="00B34608" w:rsidRDefault="00D2569B" w:rsidP="004A089E">
            <w:pPr>
              <w:spacing w:line="276" w:lineRule="auto"/>
              <w:rPr>
                <w:sz w:val="20"/>
              </w:rPr>
            </w:pPr>
            <w:r>
              <w:rPr>
                <w:sz w:val="20"/>
              </w:rPr>
              <w:t>Other short-term</w:t>
            </w:r>
            <w:r w:rsidRPr="00B34608">
              <w:rPr>
                <w:sz w:val="20"/>
              </w:rPr>
              <w:t xml:space="preserve"> </w:t>
            </w:r>
            <w:r>
              <w:rPr>
                <w:sz w:val="20"/>
              </w:rPr>
              <w:t>liabilities</w:t>
            </w:r>
          </w:p>
        </w:tc>
        <w:tc>
          <w:tcPr>
            <w:tcW w:w="1040" w:type="dxa"/>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right"/>
              <w:rPr>
                <w:sz w:val="20"/>
              </w:rPr>
            </w:pPr>
            <w:r>
              <w:rPr>
                <w:sz w:val="20"/>
              </w:rPr>
              <w:t>18,</w:t>
            </w:r>
            <w:r w:rsidRPr="00B34608">
              <w:rPr>
                <w:sz w:val="20"/>
              </w:rPr>
              <w:t>491</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sz w:val="20"/>
              </w:rPr>
            </w:pPr>
            <w:r>
              <w:rPr>
                <w:sz w:val="20"/>
              </w:rPr>
              <w:t>35,</w:t>
            </w:r>
            <w:r w:rsidRPr="00B34608">
              <w:rPr>
                <w:sz w:val="20"/>
              </w:rPr>
              <w:t>990</w:t>
            </w:r>
          </w:p>
        </w:tc>
      </w:tr>
      <w:tr w:rsidR="00D2569B" w:rsidRPr="00B34608" w:rsidTr="002C0C47">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b/>
                <w:bCs/>
                <w:sz w:val="20"/>
              </w:rPr>
            </w:pPr>
            <w:r w:rsidRPr="00B34608">
              <w:rPr>
                <w:b/>
                <w:bCs/>
                <w:sz w:val="20"/>
              </w:rPr>
              <w:t>F.</w:t>
            </w:r>
          </w:p>
        </w:tc>
        <w:tc>
          <w:tcPr>
            <w:tcW w:w="2622" w:type="dxa"/>
            <w:tcBorders>
              <w:top w:val="single" w:sz="4" w:space="0" w:color="auto"/>
              <w:left w:val="single" w:sz="4" w:space="0" w:color="auto"/>
              <w:bottom w:val="single" w:sz="4" w:space="0" w:color="auto"/>
            </w:tcBorders>
            <w:noWrap/>
            <w:vAlign w:val="center"/>
          </w:tcPr>
          <w:p w:rsidR="00D2569B" w:rsidRPr="00B34608" w:rsidRDefault="00D2569B" w:rsidP="004A089E">
            <w:pPr>
              <w:spacing w:line="276" w:lineRule="auto"/>
              <w:rPr>
                <w:b/>
                <w:bCs/>
                <w:sz w:val="20"/>
              </w:rPr>
            </w:pPr>
            <w:r>
              <w:rPr>
                <w:b/>
                <w:bCs/>
                <w:sz w:val="20"/>
              </w:rPr>
              <w:t>NET ASSETS</w:t>
            </w:r>
          </w:p>
        </w:tc>
        <w:tc>
          <w:tcPr>
            <w:tcW w:w="2405" w:type="dxa"/>
            <w:tcBorders>
              <w:top w:val="single" w:sz="4" w:space="0" w:color="auto"/>
              <w:bottom w:val="single" w:sz="4" w:space="0" w:color="auto"/>
              <w:right w:val="single" w:sz="4" w:space="0" w:color="auto"/>
            </w:tcBorders>
            <w:vAlign w:val="center"/>
          </w:tcPr>
          <w:p w:rsidR="00D2569B" w:rsidRPr="00B34608" w:rsidRDefault="00D2569B" w:rsidP="004A089E">
            <w:pPr>
              <w:spacing w:line="276" w:lineRule="auto"/>
              <w:rPr>
                <w:b/>
                <w:bCs/>
                <w:sz w:val="20"/>
              </w:rPr>
            </w:pPr>
            <w:r w:rsidRPr="00B34608">
              <w:rPr>
                <w:b/>
                <w:bCs/>
                <w:sz w:val="20"/>
              </w:rPr>
              <w:t> </w:t>
            </w:r>
          </w:p>
        </w:tc>
        <w:tc>
          <w:tcPr>
            <w:tcW w:w="1040" w:type="dxa"/>
            <w:tcBorders>
              <w:top w:val="nil"/>
              <w:left w:val="single" w:sz="4" w:space="0" w:color="auto"/>
              <w:bottom w:val="single" w:sz="4" w:space="0" w:color="auto"/>
              <w:right w:val="nil"/>
            </w:tcBorders>
            <w:vAlign w:val="center"/>
          </w:tcPr>
          <w:p w:rsidR="00D2569B" w:rsidRPr="00B34608" w:rsidRDefault="00D2569B"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right"/>
              <w:rPr>
                <w:b/>
                <w:bCs/>
                <w:sz w:val="20"/>
              </w:rPr>
            </w:pPr>
            <w:r>
              <w:rPr>
                <w:b/>
                <w:bCs/>
                <w:sz w:val="20"/>
              </w:rPr>
              <w:t>228,</w:t>
            </w:r>
            <w:r w:rsidRPr="00B34608">
              <w:rPr>
                <w:b/>
                <w:bCs/>
                <w:sz w:val="20"/>
              </w:rPr>
              <w:t>325</w:t>
            </w:r>
            <w:r>
              <w:rPr>
                <w:b/>
                <w:bCs/>
                <w:sz w:val="20"/>
              </w:rPr>
              <w:t>,</w:t>
            </w:r>
            <w:r w:rsidRPr="00B34608">
              <w:rPr>
                <w:b/>
                <w:bCs/>
                <w:sz w:val="20"/>
              </w:rPr>
              <w:t>924</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b/>
                <w:bCs/>
                <w:sz w:val="20"/>
              </w:rPr>
            </w:pPr>
            <w:r>
              <w:rPr>
                <w:b/>
                <w:bCs/>
                <w:sz w:val="20"/>
              </w:rPr>
              <w:t>199,</w:t>
            </w:r>
            <w:r w:rsidRPr="00B34608">
              <w:rPr>
                <w:b/>
                <w:bCs/>
                <w:sz w:val="20"/>
              </w:rPr>
              <w:t>222</w:t>
            </w:r>
            <w:r>
              <w:rPr>
                <w:b/>
                <w:bCs/>
                <w:sz w:val="20"/>
              </w:rPr>
              <w:t>,</w:t>
            </w:r>
            <w:r w:rsidRPr="00B34608">
              <w:rPr>
                <w:b/>
                <w:bCs/>
                <w:sz w:val="20"/>
              </w:rPr>
              <w:t>122</w:t>
            </w:r>
          </w:p>
        </w:tc>
      </w:tr>
      <w:tr w:rsidR="00D2569B" w:rsidRPr="00B34608" w:rsidTr="002C0C47">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sz w:val="20"/>
              </w:rPr>
            </w:pPr>
            <w:r w:rsidRPr="00B34608">
              <w:rPr>
                <w:sz w:val="20"/>
              </w:rPr>
              <w:t>I.</w:t>
            </w:r>
          </w:p>
        </w:tc>
        <w:tc>
          <w:tcPr>
            <w:tcW w:w="5027" w:type="dxa"/>
            <w:gridSpan w:val="2"/>
            <w:tcBorders>
              <w:top w:val="single" w:sz="4" w:space="0" w:color="auto"/>
              <w:left w:val="nil"/>
              <w:bottom w:val="single" w:sz="4" w:space="0" w:color="auto"/>
              <w:right w:val="single" w:sz="4" w:space="0" w:color="000000"/>
            </w:tcBorders>
            <w:noWrap/>
            <w:vAlign w:val="center"/>
          </w:tcPr>
          <w:p w:rsidR="00D2569B" w:rsidRPr="00B34608" w:rsidRDefault="00D2569B" w:rsidP="004A089E">
            <w:pPr>
              <w:spacing w:line="276" w:lineRule="auto"/>
              <w:rPr>
                <w:sz w:val="20"/>
              </w:rPr>
            </w:pPr>
            <w:r w:rsidRPr="00B34608">
              <w:rPr>
                <w:sz w:val="20"/>
              </w:rPr>
              <w:t>Re</w:t>
            </w:r>
            <w:r>
              <w:rPr>
                <w:sz w:val="20"/>
              </w:rPr>
              <w:t>serves</w:t>
            </w:r>
          </w:p>
        </w:tc>
        <w:tc>
          <w:tcPr>
            <w:tcW w:w="1040" w:type="dxa"/>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2C0C47">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w:t>
            </w:r>
          </w:p>
        </w:tc>
        <w:tc>
          <w:tcPr>
            <w:tcW w:w="5027" w:type="dxa"/>
            <w:gridSpan w:val="2"/>
            <w:tcBorders>
              <w:top w:val="single" w:sz="4" w:space="0" w:color="auto"/>
              <w:left w:val="single" w:sz="4" w:space="0" w:color="auto"/>
              <w:bottom w:val="single" w:sz="4" w:space="0" w:color="auto"/>
              <w:right w:val="single" w:sz="4" w:space="0" w:color="000000"/>
            </w:tcBorders>
            <w:noWrap/>
            <w:vAlign w:val="center"/>
          </w:tcPr>
          <w:p w:rsidR="00D2569B" w:rsidRPr="00B34608" w:rsidRDefault="00D2569B" w:rsidP="004A089E">
            <w:pPr>
              <w:spacing w:line="276" w:lineRule="auto"/>
              <w:rPr>
                <w:sz w:val="20"/>
              </w:rPr>
            </w:pPr>
            <w:r>
              <w:rPr>
                <w:sz w:val="20"/>
              </w:rPr>
              <w:t>Effects of the equity method</w:t>
            </w:r>
          </w:p>
        </w:tc>
        <w:tc>
          <w:tcPr>
            <w:tcW w:w="1040" w:type="dxa"/>
            <w:tcBorders>
              <w:top w:val="nil"/>
              <w:left w:val="nil"/>
              <w:bottom w:val="single" w:sz="4" w:space="0" w:color="auto"/>
              <w:right w:val="nil"/>
            </w:tcBorders>
            <w:vAlign w:val="center"/>
          </w:tcPr>
          <w:p w:rsidR="00D2569B" w:rsidRPr="00B34608" w:rsidRDefault="00D2569B"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rPr>
                <w:sz w:val="20"/>
              </w:rPr>
            </w:pPr>
            <w:r w:rsidRPr="00B34608">
              <w:rPr>
                <w:sz w:val="20"/>
              </w:rPr>
              <w:t> </w:t>
            </w:r>
          </w:p>
        </w:tc>
      </w:tr>
      <w:tr w:rsidR="00D2569B" w:rsidRPr="00B34608" w:rsidTr="002C0C47">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sz w:val="20"/>
              </w:rPr>
            </w:pPr>
            <w:r w:rsidRPr="00B34608">
              <w:rPr>
                <w:sz w:val="20"/>
              </w:rPr>
              <w:t>III.</w:t>
            </w:r>
          </w:p>
        </w:tc>
        <w:tc>
          <w:tcPr>
            <w:tcW w:w="5027" w:type="dxa"/>
            <w:gridSpan w:val="2"/>
            <w:tcBorders>
              <w:top w:val="single" w:sz="4" w:space="0" w:color="auto"/>
              <w:left w:val="single" w:sz="4" w:space="0" w:color="auto"/>
              <w:bottom w:val="single" w:sz="4" w:space="0" w:color="auto"/>
              <w:right w:val="single" w:sz="4" w:space="0" w:color="auto"/>
            </w:tcBorders>
            <w:noWrap/>
            <w:vAlign w:val="center"/>
          </w:tcPr>
          <w:p w:rsidR="00D2569B" w:rsidRPr="00B34608" w:rsidRDefault="00D2569B" w:rsidP="004A089E">
            <w:pPr>
              <w:spacing w:line="276" w:lineRule="auto"/>
              <w:rPr>
                <w:sz w:val="20"/>
              </w:rPr>
            </w:pPr>
            <w:r>
              <w:rPr>
                <w:sz w:val="20"/>
              </w:rPr>
              <w:t>Accrued surplus or deficit</w:t>
            </w:r>
          </w:p>
        </w:tc>
        <w:tc>
          <w:tcPr>
            <w:tcW w:w="1040" w:type="dxa"/>
            <w:tcBorders>
              <w:top w:val="nil"/>
              <w:left w:val="single" w:sz="4" w:space="0" w:color="auto"/>
              <w:bottom w:val="single" w:sz="4" w:space="0" w:color="auto"/>
              <w:right w:val="nil"/>
            </w:tcBorders>
            <w:vAlign w:val="center"/>
          </w:tcPr>
          <w:p w:rsidR="00D2569B" w:rsidRPr="00B34608" w:rsidRDefault="00D2569B"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A43BB2">
            <w:pPr>
              <w:spacing w:line="276" w:lineRule="auto"/>
              <w:jc w:val="right"/>
              <w:rPr>
                <w:sz w:val="20"/>
              </w:rPr>
            </w:pPr>
            <w:r w:rsidRPr="00B34608">
              <w:rPr>
                <w:sz w:val="20"/>
              </w:rPr>
              <w:t>228</w:t>
            </w:r>
            <w:r>
              <w:rPr>
                <w:sz w:val="20"/>
              </w:rPr>
              <w:t>,</w:t>
            </w:r>
            <w:r w:rsidRPr="00B34608">
              <w:rPr>
                <w:sz w:val="20"/>
              </w:rPr>
              <w:t>325</w:t>
            </w:r>
            <w:r>
              <w:rPr>
                <w:sz w:val="20"/>
              </w:rPr>
              <w:t>,</w:t>
            </w:r>
            <w:r w:rsidRPr="00B34608">
              <w:rPr>
                <w:sz w:val="20"/>
              </w:rPr>
              <w:t>924</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sz w:val="20"/>
              </w:rPr>
            </w:pPr>
            <w:r w:rsidRPr="00B34608">
              <w:rPr>
                <w:sz w:val="20"/>
              </w:rPr>
              <w:t>199</w:t>
            </w:r>
            <w:r>
              <w:rPr>
                <w:sz w:val="20"/>
              </w:rPr>
              <w:t>,</w:t>
            </w:r>
            <w:r w:rsidRPr="00B34608">
              <w:rPr>
                <w:sz w:val="20"/>
              </w:rPr>
              <w:t>222</w:t>
            </w:r>
            <w:r>
              <w:rPr>
                <w:sz w:val="20"/>
              </w:rPr>
              <w:t>,</w:t>
            </w:r>
            <w:r w:rsidRPr="00B34608">
              <w:rPr>
                <w:sz w:val="20"/>
              </w:rPr>
              <w:t>160</w:t>
            </w:r>
          </w:p>
        </w:tc>
      </w:tr>
      <w:tr w:rsidR="00D2569B" w:rsidRPr="00B34608" w:rsidTr="002C0C47">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III.1</w:t>
            </w:r>
          </w:p>
        </w:tc>
        <w:tc>
          <w:tcPr>
            <w:tcW w:w="5027"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D2569B" w:rsidRPr="00B34608" w:rsidRDefault="00D2569B" w:rsidP="004A089E">
            <w:pPr>
              <w:spacing w:line="276" w:lineRule="auto"/>
              <w:rPr>
                <w:sz w:val="20"/>
              </w:rPr>
            </w:pPr>
            <w:r>
              <w:rPr>
                <w:sz w:val="20"/>
              </w:rPr>
              <w:t>Surplus or deficit of the current year</w:t>
            </w:r>
          </w:p>
        </w:tc>
        <w:tc>
          <w:tcPr>
            <w:tcW w:w="1040" w:type="dxa"/>
            <w:tcBorders>
              <w:top w:val="nil"/>
              <w:left w:val="nil"/>
              <w:bottom w:val="single" w:sz="4" w:space="0" w:color="auto"/>
              <w:right w:val="nil"/>
            </w:tcBorders>
            <w:shd w:val="clear" w:color="000000" w:fill="FFFFFF"/>
            <w:vAlign w:val="center"/>
          </w:tcPr>
          <w:p w:rsidR="00D2569B" w:rsidRPr="00B34608" w:rsidRDefault="00D2569B" w:rsidP="00AB5345">
            <w:pPr>
              <w:spacing w:line="276" w:lineRule="auto"/>
              <w:jc w:val="center"/>
              <w:rPr>
                <w:sz w:val="20"/>
              </w:rPr>
            </w:pPr>
            <w:r w:rsidRPr="00B34608">
              <w:rPr>
                <w:sz w:val="20"/>
              </w:rPr>
              <w:t>7</w:t>
            </w: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A43BB2">
            <w:pPr>
              <w:spacing w:line="276" w:lineRule="auto"/>
              <w:jc w:val="right"/>
              <w:rPr>
                <w:sz w:val="20"/>
              </w:rPr>
            </w:pPr>
            <w:r w:rsidRPr="00B34608">
              <w:rPr>
                <w:sz w:val="20"/>
              </w:rPr>
              <w:t>29</w:t>
            </w:r>
            <w:r>
              <w:rPr>
                <w:sz w:val="20"/>
              </w:rPr>
              <w:t>,</w:t>
            </w:r>
            <w:r w:rsidRPr="00B34608">
              <w:rPr>
                <w:sz w:val="20"/>
              </w:rPr>
              <w:t>103</w:t>
            </w:r>
            <w:r>
              <w:rPr>
                <w:sz w:val="20"/>
              </w:rPr>
              <w:t>,</w:t>
            </w:r>
            <w:r w:rsidRPr="00B34608">
              <w:rPr>
                <w:sz w:val="20"/>
              </w:rPr>
              <w:t>764</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sz w:val="20"/>
              </w:rPr>
            </w:pPr>
            <w:r>
              <w:rPr>
                <w:sz w:val="20"/>
              </w:rPr>
              <w:t>29,</w:t>
            </w:r>
            <w:r w:rsidRPr="00B34608">
              <w:rPr>
                <w:sz w:val="20"/>
              </w:rPr>
              <w:t>476</w:t>
            </w:r>
            <w:r>
              <w:rPr>
                <w:sz w:val="20"/>
              </w:rPr>
              <w:t>,</w:t>
            </w:r>
            <w:r w:rsidRPr="00B34608">
              <w:rPr>
                <w:sz w:val="20"/>
              </w:rPr>
              <w:t>428</w:t>
            </w:r>
          </w:p>
        </w:tc>
      </w:tr>
      <w:tr w:rsidR="00D2569B" w:rsidRPr="00B34608" w:rsidTr="002C0C47">
        <w:trPr>
          <w:trHeight w:val="57"/>
        </w:trPr>
        <w:tc>
          <w:tcPr>
            <w:tcW w:w="880" w:type="dxa"/>
            <w:tcBorders>
              <w:top w:val="nil"/>
              <w:left w:val="single" w:sz="4" w:space="0" w:color="auto"/>
              <w:bottom w:val="single" w:sz="4" w:space="0" w:color="auto"/>
              <w:right w:val="nil"/>
            </w:tcBorders>
            <w:vAlign w:val="center"/>
          </w:tcPr>
          <w:p w:rsidR="00D2569B" w:rsidRPr="00B34608" w:rsidRDefault="00D2569B" w:rsidP="004A089E">
            <w:pPr>
              <w:spacing w:line="276" w:lineRule="auto"/>
              <w:jc w:val="center"/>
              <w:rPr>
                <w:sz w:val="20"/>
              </w:rPr>
            </w:pPr>
            <w:r w:rsidRPr="00B34608">
              <w:rPr>
                <w:sz w:val="20"/>
              </w:rPr>
              <w:t>III.2</w:t>
            </w:r>
          </w:p>
        </w:tc>
        <w:tc>
          <w:tcPr>
            <w:tcW w:w="6067"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rsidR="00D2569B" w:rsidRPr="00B34608" w:rsidRDefault="00D2569B" w:rsidP="004A089E">
            <w:pPr>
              <w:spacing w:line="276" w:lineRule="auto"/>
              <w:rPr>
                <w:sz w:val="20"/>
              </w:rPr>
            </w:pPr>
            <w:r>
              <w:rPr>
                <w:sz w:val="20"/>
              </w:rPr>
              <w:t>Surplus or deficit of the previous year</w:t>
            </w:r>
          </w:p>
        </w:tc>
        <w:tc>
          <w:tcPr>
            <w:tcW w:w="1446" w:type="dxa"/>
            <w:gridSpan w:val="2"/>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sz w:val="20"/>
              </w:rPr>
            </w:pPr>
            <w:r w:rsidRPr="00B34608">
              <w:rPr>
                <w:sz w:val="20"/>
              </w:rPr>
              <w:t>199</w:t>
            </w:r>
            <w:r>
              <w:rPr>
                <w:sz w:val="20"/>
              </w:rPr>
              <w:t>,</w:t>
            </w:r>
            <w:r w:rsidRPr="00B34608">
              <w:rPr>
                <w:sz w:val="20"/>
              </w:rPr>
              <w:t>222</w:t>
            </w:r>
            <w:r>
              <w:rPr>
                <w:sz w:val="20"/>
              </w:rPr>
              <w:t>,</w:t>
            </w:r>
            <w:r w:rsidRPr="00B34608">
              <w:rPr>
                <w:sz w:val="20"/>
              </w:rPr>
              <w:t>160</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sz w:val="20"/>
              </w:rPr>
            </w:pPr>
            <w:r>
              <w:rPr>
                <w:sz w:val="20"/>
              </w:rPr>
              <w:t>169,</w:t>
            </w:r>
            <w:r w:rsidRPr="00B34608">
              <w:rPr>
                <w:sz w:val="20"/>
              </w:rPr>
              <w:t>745</w:t>
            </w:r>
            <w:r>
              <w:rPr>
                <w:sz w:val="20"/>
              </w:rPr>
              <w:t>,</w:t>
            </w:r>
            <w:r w:rsidRPr="00B34608">
              <w:rPr>
                <w:sz w:val="20"/>
              </w:rPr>
              <w:t>732</w:t>
            </w:r>
          </w:p>
        </w:tc>
      </w:tr>
      <w:tr w:rsidR="00D2569B" w:rsidRPr="00B34608" w:rsidTr="002C0C47">
        <w:trPr>
          <w:trHeight w:val="57"/>
        </w:trPr>
        <w:tc>
          <w:tcPr>
            <w:tcW w:w="880" w:type="dxa"/>
            <w:tcBorders>
              <w:top w:val="nil"/>
              <w:left w:val="single" w:sz="4" w:space="0" w:color="auto"/>
              <w:bottom w:val="single" w:sz="4" w:space="0" w:color="auto"/>
              <w:right w:val="single" w:sz="4" w:space="0" w:color="auto"/>
            </w:tcBorders>
            <w:vAlign w:val="center"/>
          </w:tcPr>
          <w:p w:rsidR="00D2569B" w:rsidRPr="00B34608" w:rsidRDefault="00D2569B" w:rsidP="004A089E">
            <w:pPr>
              <w:spacing w:line="276" w:lineRule="auto"/>
              <w:jc w:val="center"/>
              <w:rPr>
                <w:b/>
                <w:bCs/>
                <w:sz w:val="20"/>
              </w:rPr>
            </w:pPr>
            <w:r w:rsidRPr="00B34608">
              <w:rPr>
                <w:b/>
                <w:bCs/>
                <w:sz w:val="20"/>
              </w:rPr>
              <w:t> </w:t>
            </w:r>
          </w:p>
        </w:tc>
        <w:tc>
          <w:tcPr>
            <w:tcW w:w="5027" w:type="dxa"/>
            <w:gridSpan w:val="2"/>
            <w:tcBorders>
              <w:top w:val="single" w:sz="4" w:space="0" w:color="auto"/>
              <w:left w:val="nil"/>
              <w:bottom w:val="single" w:sz="4" w:space="0" w:color="auto"/>
              <w:right w:val="single" w:sz="4" w:space="0" w:color="000000"/>
            </w:tcBorders>
            <w:vAlign w:val="center"/>
          </w:tcPr>
          <w:p w:rsidR="00D2569B" w:rsidRPr="00B34608" w:rsidRDefault="00D2569B" w:rsidP="004A089E">
            <w:pPr>
              <w:spacing w:line="276" w:lineRule="auto"/>
              <w:rPr>
                <w:b/>
                <w:bCs/>
                <w:sz w:val="20"/>
              </w:rPr>
            </w:pPr>
            <w:r>
              <w:rPr>
                <w:b/>
                <w:bCs/>
                <w:sz w:val="20"/>
              </w:rPr>
              <w:t>TOTAL FINANCING AMOUNTS, LIABILITIES AND NET ASSETS</w:t>
            </w:r>
            <w:r w:rsidRPr="00B34608">
              <w:rPr>
                <w:b/>
                <w:bCs/>
                <w:sz w:val="20"/>
              </w:rPr>
              <w:t>:</w:t>
            </w:r>
          </w:p>
        </w:tc>
        <w:tc>
          <w:tcPr>
            <w:tcW w:w="1040" w:type="dxa"/>
            <w:tcBorders>
              <w:top w:val="nil"/>
              <w:left w:val="nil"/>
              <w:bottom w:val="single" w:sz="4" w:space="0" w:color="auto"/>
              <w:right w:val="nil"/>
            </w:tcBorders>
            <w:vAlign w:val="center"/>
          </w:tcPr>
          <w:p w:rsidR="00D2569B" w:rsidRPr="00B34608" w:rsidRDefault="00D2569B" w:rsidP="004A089E">
            <w:pPr>
              <w:spacing w:line="276" w:lineRule="auto"/>
              <w:rPr>
                <w:b/>
                <w:bCs/>
                <w:sz w:val="20"/>
              </w:rPr>
            </w:pPr>
            <w:r w:rsidRPr="00B34608">
              <w:rPr>
                <w:b/>
                <w:bCs/>
                <w:sz w:val="20"/>
              </w:rPr>
              <w:t> </w:t>
            </w:r>
          </w:p>
        </w:tc>
        <w:tc>
          <w:tcPr>
            <w:tcW w:w="1446" w:type="dxa"/>
            <w:gridSpan w:val="2"/>
            <w:tcBorders>
              <w:top w:val="nil"/>
              <w:left w:val="single" w:sz="4" w:space="0" w:color="auto"/>
              <w:bottom w:val="single" w:sz="4" w:space="0" w:color="auto"/>
              <w:right w:val="single" w:sz="4" w:space="0" w:color="auto"/>
            </w:tcBorders>
            <w:vAlign w:val="center"/>
          </w:tcPr>
          <w:p w:rsidR="00D2569B" w:rsidRPr="00B34608" w:rsidRDefault="00D2569B" w:rsidP="00A43BB2">
            <w:pPr>
              <w:spacing w:line="276" w:lineRule="auto"/>
              <w:jc w:val="right"/>
              <w:rPr>
                <w:b/>
                <w:bCs/>
                <w:sz w:val="20"/>
              </w:rPr>
            </w:pPr>
            <w:r>
              <w:rPr>
                <w:b/>
                <w:bCs/>
                <w:sz w:val="20"/>
              </w:rPr>
              <w:t>236,</w:t>
            </w:r>
            <w:r w:rsidRPr="00B34608">
              <w:rPr>
                <w:b/>
                <w:bCs/>
                <w:sz w:val="20"/>
              </w:rPr>
              <w:t>688</w:t>
            </w:r>
            <w:r>
              <w:rPr>
                <w:b/>
                <w:bCs/>
                <w:sz w:val="20"/>
              </w:rPr>
              <w:t>,</w:t>
            </w:r>
            <w:r w:rsidRPr="00B34608">
              <w:rPr>
                <w:b/>
                <w:bCs/>
                <w:sz w:val="20"/>
              </w:rPr>
              <w:t>889</w:t>
            </w:r>
          </w:p>
        </w:tc>
        <w:tc>
          <w:tcPr>
            <w:tcW w:w="1672" w:type="dxa"/>
            <w:tcBorders>
              <w:top w:val="nil"/>
              <w:left w:val="nil"/>
              <w:bottom w:val="single" w:sz="4" w:space="0" w:color="auto"/>
              <w:right w:val="single" w:sz="4" w:space="0" w:color="auto"/>
            </w:tcBorders>
            <w:vAlign w:val="center"/>
          </w:tcPr>
          <w:p w:rsidR="00D2569B" w:rsidRPr="00B34608" w:rsidRDefault="00D2569B" w:rsidP="004A089E">
            <w:pPr>
              <w:spacing w:line="276" w:lineRule="auto"/>
              <w:jc w:val="right"/>
              <w:rPr>
                <w:b/>
                <w:bCs/>
                <w:sz w:val="20"/>
              </w:rPr>
            </w:pPr>
            <w:r>
              <w:rPr>
                <w:b/>
                <w:bCs/>
                <w:sz w:val="20"/>
              </w:rPr>
              <w:t>263,</w:t>
            </w:r>
            <w:r w:rsidRPr="00B34608">
              <w:rPr>
                <w:b/>
                <w:bCs/>
                <w:sz w:val="20"/>
              </w:rPr>
              <w:t>712</w:t>
            </w:r>
            <w:r>
              <w:rPr>
                <w:b/>
                <w:bCs/>
                <w:sz w:val="20"/>
              </w:rPr>
              <w:t>,</w:t>
            </w:r>
            <w:r w:rsidRPr="00B34608">
              <w:rPr>
                <w:b/>
                <w:bCs/>
                <w:sz w:val="20"/>
              </w:rPr>
              <w:t>134</w:t>
            </w:r>
          </w:p>
        </w:tc>
      </w:tr>
    </w:tbl>
    <w:p w:rsidR="00D2569B" w:rsidRPr="00B34608" w:rsidRDefault="00D2569B" w:rsidP="00C61F69">
      <w:pPr>
        <w:tabs>
          <w:tab w:val="left" w:pos="0"/>
        </w:tabs>
        <w:jc w:val="both"/>
        <w:rPr>
          <w:sz w:val="16"/>
          <w:szCs w:val="16"/>
        </w:rPr>
      </w:pPr>
    </w:p>
    <w:p w:rsidR="00D2569B" w:rsidRPr="00B34608" w:rsidRDefault="00D2569B" w:rsidP="00C61F69">
      <w:pPr>
        <w:tabs>
          <w:tab w:val="left" w:pos="0"/>
        </w:tabs>
        <w:jc w:val="both"/>
        <w:rPr>
          <w:sz w:val="16"/>
          <w:szCs w:val="16"/>
        </w:rPr>
      </w:pPr>
    </w:p>
    <w:p w:rsidR="00D2569B" w:rsidRPr="00B34608" w:rsidRDefault="00D2569B" w:rsidP="00C61F69">
      <w:pPr>
        <w:tabs>
          <w:tab w:val="left" w:pos="0"/>
        </w:tabs>
        <w:jc w:val="both"/>
        <w:rPr>
          <w:szCs w:val="22"/>
        </w:rPr>
      </w:pPr>
    </w:p>
    <w:p w:rsidR="00D2569B" w:rsidRPr="00B34608" w:rsidRDefault="00D2569B" w:rsidP="00C61F69">
      <w:pPr>
        <w:tabs>
          <w:tab w:val="left" w:pos="0"/>
        </w:tabs>
        <w:jc w:val="both"/>
        <w:rPr>
          <w:szCs w:val="22"/>
        </w:rPr>
      </w:pPr>
    </w:p>
    <w:p w:rsidR="00D2569B" w:rsidRPr="00B34608" w:rsidRDefault="00D2569B" w:rsidP="00C61F69">
      <w:pPr>
        <w:tabs>
          <w:tab w:val="left" w:pos="0"/>
        </w:tabs>
        <w:jc w:val="both"/>
        <w:rPr>
          <w:szCs w:val="22"/>
        </w:rPr>
      </w:pPr>
      <w:r w:rsidRPr="00F33D93">
        <w:rPr>
          <w:szCs w:val="22"/>
        </w:rPr>
        <w:t>Dire</w:t>
      </w:r>
      <w:r>
        <w:rPr>
          <w:szCs w:val="22"/>
        </w:rPr>
        <w:t>ctor</w:t>
      </w:r>
      <w:r w:rsidRPr="00B34608">
        <w:rPr>
          <w:szCs w:val="22"/>
        </w:rPr>
        <w:t xml:space="preserve">                                                                                                                       Aurelija Mažintienė</w:t>
      </w:r>
    </w:p>
    <w:p w:rsidR="00D2569B" w:rsidRPr="00B34608" w:rsidRDefault="00D2569B" w:rsidP="00C61F69">
      <w:pPr>
        <w:tabs>
          <w:tab w:val="left" w:pos="0"/>
        </w:tabs>
        <w:jc w:val="both"/>
        <w:rPr>
          <w:szCs w:val="22"/>
        </w:rPr>
      </w:pPr>
    </w:p>
    <w:p w:rsidR="00D2569B" w:rsidRPr="00B34608" w:rsidRDefault="00D2569B" w:rsidP="00C61F69">
      <w:pPr>
        <w:tabs>
          <w:tab w:val="left" w:pos="0"/>
        </w:tabs>
        <w:jc w:val="both"/>
        <w:rPr>
          <w:szCs w:val="22"/>
        </w:rPr>
      </w:pPr>
    </w:p>
    <w:p w:rsidR="00D2569B" w:rsidRPr="00B34608" w:rsidRDefault="00D2569B" w:rsidP="00C61F69">
      <w:pPr>
        <w:tabs>
          <w:tab w:val="left" w:pos="0"/>
        </w:tabs>
        <w:jc w:val="both"/>
        <w:rPr>
          <w:szCs w:val="22"/>
        </w:rPr>
      </w:pPr>
      <w:r>
        <w:rPr>
          <w:szCs w:val="22"/>
        </w:rPr>
        <w:t>Acting Chief Accountant</w:t>
      </w:r>
      <w:r w:rsidRPr="00B34608">
        <w:rPr>
          <w:szCs w:val="22"/>
        </w:rPr>
        <w:t xml:space="preserve">                                                                                         Laima Tankevičiūtė</w:t>
      </w:r>
    </w:p>
    <w:p w:rsidR="00D2569B" w:rsidRPr="00B34608" w:rsidRDefault="00D2569B" w:rsidP="00C61F69">
      <w:pPr>
        <w:tabs>
          <w:tab w:val="left" w:pos="0"/>
        </w:tabs>
        <w:jc w:val="both"/>
        <w:rPr>
          <w:szCs w:val="22"/>
        </w:rPr>
      </w:pPr>
    </w:p>
    <w:p w:rsidR="00D2569B" w:rsidRPr="00B34608" w:rsidRDefault="00D2569B" w:rsidP="00C61F69">
      <w:pPr>
        <w:tabs>
          <w:tab w:val="left" w:pos="0"/>
        </w:tabs>
        <w:jc w:val="both"/>
        <w:rPr>
          <w:szCs w:val="22"/>
        </w:rPr>
      </w:pPr>
    </w:p>
    <w:p w:rsidR="00D2569B" w:rsidRPr="00B34608" w:rsidRDefault="00D2569B" w:rsidP="00C61F69">
      <w:pPr>
        <w:tabs>
          <w:tab w:val="left" w:pos="0"/>
        </w:tabs>
        <w:jc w:val="both"/>
        <w:rPr>
          <w:szCs w:val="22"/>
        </w:rPr>
      </w:pPr>
    </w:p>
    <w:p w:rsidR="00D2569B" w:rsidRPr="00B34608" w:rsidRDefault="00D2569B" w:rsidP="00C61F69">
      <w:pPr>
        <w:tabs>
          <w:tab w:val="left" w:pos="0"/>
        </w:tabs>
        <w:jc w:val="both"/>
        <w:rPr>
          <w:szCs w:val="22"/>
        </w:rPr>
      </w:pPr>
    </w:p>
    <w:p w:rsidR="00D2569B" w:rsidRPr="00B34608" w:rsidRDefault="00D2569B" w:rsidP="00C61F69">
      <w:pPr>
        <w:tabs>
          <w:tab w:val="left" w:pos="0"/>
        </w:tabs>
        <w:jc w:val="both"/>
        <w:rPr>
          <w:szCs w:val="22"/>
        </w:rPr>
      </w:pPr>
    </w:p>
    <w:p w:rsidR="00D2569B" w:rsidRPr="00B34608" w:rsidRDefault="00D2569B" w:rsidP="00C61F69">
      <w:pPr>
        <w:tabs>
          <w:tab w:val="left" w:pos="0"/>
        </w:tabs>
        <w:jc w:val="both"/>
        <w:rPr>
          <w:szCs w:val="22"/>
        </w:rPr>
      </w:pPr>
    </w:p>
    <w:p w:rsidR="00D2569B" w:rsidRPr="00B34608" w:rsidRDefault="00D2569B" w:rsidP="00C61F69">
      <w:pPr>
        <w:tabs>
          <w:tab w:val="left" w:pos="0"/>
        </w:tabs>
        <w:jc w:val="both"/>
        <w:rPr>
          <w:szCs w:val="22"/>
        </w:rPr>
      </w:pPr>
    </w:p>
    <w:p w:rsidR="00D2569B" w:rsidRPr="00B34608" w:rsidRDefault="00D2569B" w:rsidP="00C61F69">
      <w:pPr>
        <w:tabs>
          <w:tab w:val="left" w:pos="0"/>
        </w:tabs>
        <w:jc w:val="both"/>
        <w:rPr>
          <w:szCs w:val="22"/>
        </w:rPr>
      </w:pPr>
    </w:p>
    <w:p w:rsidR="00D2569B" w:rsidRPr="00B34608" w:rsidRDefault="00D2569B" w:rsidP="00C61F69">
      <w:pPr>
        <w:tabs>
          <w:tab w:val="left" w:pos="0"/>
        </w:tabs>
        <w:jc w:val="both"/>
        <w:rPr>
          <w:szCs w:val="22"/>
        </w:rPr>
      </w:pPr>
    </w:p>
    <w:p w:rsidR="00D2569B" w:rsidRPr="00B34608" w:rsidRDefault="00D2569B" w:rsidP="00C61F69">
      <w:pPr>
        <w:tabs>
          <w:tab w:val="left" w:pos="0"/>
        </w:tabs>
        <w:jc w:val="both"/>
        <w:rPr>
          <w:sz w:val="20"/>
        </w:rPr>
      </w:pPr>
    </w:p>
    <w:p w:rsidR="00D2569B" w:rsidRPr="00B34608" w:rsidRDefault="00D2569B" w:rsidP="00C61F69">
      <w:pPr>
        <w:tabs>
          <w:tab w:val="left" w:pos="0"/>
        </w:tabs>
        <w:jc w:val="both"/>
        <w:rPr>
          <w:sz w:val="20"/>
        </w:rPr>
      </w:pPr>
    </w:p>
    <w:p w:rsidR="00D2569B" w:rsidRPr="00B34608" w:rsidRDefault="00D2569B" w:rsidP="00B26CD3">
      <w:pPr>
        <w:spacing w:line="360" w:lineRule="auto"/>
        <w:jc w:val="center"/>
        <w:rPr>
          <w:b/>
          <w:sz w:val="24"/>
          <w:szCs w:val="24"/>
        </w:rPr>
      </w:pPr>
    </w:p>
    <w:p w:rsidR="00D2569B" w:rsidRPr="00B34608" w:rsidRDefault="00D2569B" w:rsidP="00B26CD3">
      <w:pPr>
        <w:spacing w:line="360" w:lineRule="auto"/>
        <w:jc w:val="center"/>
        <w:rPr>
          <w:b/>
          <w:sz w:val="24"/>
          <w:szCs w:val="24"/>
        </w:rPr>
      </w:pPr>
    </w:p>
    <w:p w:rsidR="00131887" w:rsidRDefault="00131887" w:rsidP="00B26CD3">
      <w:pPr>
        <w:spacing w:line="360" w:lineRule="auto"/>
        <w:jc w:val="center"/>
        <w:rPr>
          <w:b/>
          <w:sz w:val="24"/>
          <w:szCs w:val="24"/>
        </w:rPr>
      </w:pPr>
    </w:p>
    <w:p w:rsidR="00D2569B" w:rsidRPr="00B34608" w:rsidRDefault="00D2569B" w:rsidP="00B26CD3">
      <w:pPr>
        <w:spacing w:line="360" w:lineRule="auto"/>
        <w:jc w:val="center"/>
        <w:rPr>
          <w:b/>
          <w:sz w:val="24"/>
          <w:szCs w:val="24"/>
        </w:rPr>
      </w:pPr>
      <w:r>
        <w:rPr>
          <w:b/>
          <w:sz w:val="24"/>
          <w:szCs w:val="24"/>
        </w:rPr>
        <w:t>DEPOSIT INSURANCE FUND</w:t>
      </w:r>
    </w:p>
    <w:p w:rsidR="00D2569B" w:rsidRPr="00B34608" w:rsidRDefault="00D2569B" w:rsidP="00AE097C">
      <w:pPr>
        <w:spacing w:line="276" w:lineRule="auto"/>
        <w:jc w:val="center"/>
        <w:rPr>
          <w:szCs w:val="22"/>
        </w:rPr>
      </w:pPr>
      <w:r w:rsidRPr="00B34608">
        <w:rPr>
          <w:szCs w:val="22"/>
        </w:rPr>
        <w:t>Administrator</w:t>
      </w:r>
      <w:r>
        <w:rPr>
          <w:szCs w:val="22"/>
        </w:rPr>
        <w:t xml:space="preserve"> –</w:t>
      </w:r>
      <w:r w:rsidRPr="00B34608">
        <w:rPr>
          <w:szCs w:val="22"/>
        </w:rPr>
        <w:t xml:space="preserve"> </w:t>
      </w:r>
      <w:r w:rsidRPr="004B39D2">
        <w:rPr>
          <w:bCs/>
          <w:szCs w:val="22"/>
        </w:rPr>
        <w:t xml:space="preserve">SC </w:t>
      </w:r>
      <w:r w:rsidR="00131887" w:rsidRPr="00131887">
        <w:t>„</w:t>
      </w:r>
      <w:r w:rsidRPr="004B39D2">
        <w:rPr>
          <w:bCs/>
          <w:szCs w:val="22"/>
        </w:rPr>
        <w:t>Indėlių ir investicijų draudimas</w:t>
      </w:r>
      <w:r w:rsidR="00131887">
        <w:rPr>
          <w:bCs/>
          <w:szCs w:val="22"/>
        </w:rPr>
        <w:t>”</w:t>
      </w:r>
      <w:r>
        <w:rPr>
          <w:szCs w:val="22"/>
        </w:rPr>
        <w:t>, corporate code</w:t>
      </w:r>
      <w:r w:rsidRPr="00B34608">
        <w:rPr>
          <w:szCs w:val="22"/>
        </w:rPr>
        <w:t xml:space="preserve"> 110069451</w:t>
      </w:r>
    </w:p>
    <w:p w:rsidR="00D2569B" w:rsidRPr="00B34608" w:rsidRDefault="00D2569B" w:rsidP="00AE097C">
      <w:pPr>
        <w:spacing w:line="276" w:lineRule="auto"/>
        <w:jc w:val="center"/>
        <w:rPr>
          <w:szCs w:val="22"/>
        </w:rPr>
      </w:pPr>
      <w:proofErr w:type="spellStart"/>
      <w:r w:rsidRPr="00B34608">
        <w:rPr>
          <w:szCs w:val="22"/>
        </w:rPr>
        <w:t>Alg</w:t>
      </w:r>
      <w:r>
        <w:rPr>
          <w:szCs w:val="22"/>
        </w:rPr>
        <w:t>irdo</w:t>
      </w:r>
      <w:proofErr w:type="spellEnd"/>
      <w:r>
        <w:rPr>
          <w:szCs w:val="22"/>
        </w:rPr>
        <w:t xml:space="preserve"> g. 31, LT-03219 Vilnius, data collected and stored in the Register of Legal Entities</w:t>
      </w:r>
    </w:p>
    <w:p w:rsidR="00D2569B" w:rsidRPr="00B34608" w:rsidRDefault="00D2569B" w:rsidP="00B26CD3">
      <w:pPr>
        <w:spacing w:line="276" w:lineRule="auto"/>
        <w:jc w:val="center"/>
        <w:rPr>
          <w:szCs w:val="22"/>
        </w:rPr>
      </w:pPr>
    </w:p>
    <w:p w:rsidR="00D2569B" w:rsidRPr="00B34608" w:rsidRDefault="00D2569B" w:rsidP="00B26CD3">
      <w:pPr>
        <w:pStyle w:val="Antrats"/>
        <w:spacing w:before="60" w:after="60"/>
        <w:jc w:val="center"/>
        <w:rPr>
          <w:b/>
          <w:i w:val="0"/>
          <w:sz w:val="22"/>
          <w:szCs w:val="22"/>
          <w:lang w:val="en-GB"/>
        </w:rPr>
      </w:pPr>
      <w:r w:rsidRPr="00B34608">
        <w:rPr>
          <w:b/>
          <w:i w:val="0"/>
          <w:sz w:val="22"/>
          <w:szCs w:val="22"/>
          <w:lang w:val="en-GB"/>
        </w:rPr>
        <w:t xml:space="preserve">   </w:t>
      </w:r>
    </w:p>
    <w:p w:rsidR="00D2569B" w:rsidRDefault="00D2569B" w:rsidP="002F5B95">
      <w:pPr>
        <w:tabs>
          <w:tab w:val="left" w:pos="0"/>
          <w:tab w:val="left" w:pos="1376"/>
        </w:tabs>
        <w:jc w:val="both"/>
        <w:rPr>
          <w:b/>
          <w:szCs w:val="22"/>
        </w:rPr>
      </w:pPr>
      <w:r w:rsidRPr="00B34608">
        <w:rPr>
          <w:szCs w:val="22"/>
        </w:rPr>
        <w:tab/>
        <w:t xml:space="preserve">                         </w:t>
      </w:r>
      <w:r w:rsidRPr="00B34608">
        <w:rPr>
          <w:b/>
          <w:szCs w:val="22"/>
        </w:rPr>
        <w:t xml:space="preserve">  </w:t>
      </w:r>
      <w:r>
        <w:rPr>
          <w:b/>
          <w:szCs w:val="22"/>
        </w:rPr>
        <w:t>STATEMENT OF OPERATING RESULTS</w:t>
      </w:r>
    </w:p>
    <w:p w:rsidR="00D2569B" w:rsidRPr="00B34608" w:rsidRDefault="00D2569B" w:rsidP="00AE097C">
      <w:pPr>
        <w:tabs>
          <w:tab w:val="left" w:pos="0"/>
          <w:tab w:val="left" w:pos="1376"/>
        </w:tabs>
        <w:jc w:val="center"/>
        <w:rPr>
          <w:b/>
          <w:szCs w:val="22"/>
        </w:rPr>
      </w:pPr>
      <w:r>
        <w:rPr>
          <w:b/>
          <w:szCs w:val="22"/>
        </w:rPr>
        <w:t>31 DECEMBER 2017</w:t>
      </w:r>
    </w:p>
    <w:p w:rsidR="00D2569B" w:rsidRPr="00B34608" w:rsidRDefault="00D2569B" w:rsidP="002F5B95">
      <w:pPr>
        <w:tabs>
          <w:tab w:val="left" w:pos="0"/>
          <w:tab w:val="left" w:pos="1376"/>
        </w:tabs>
        <w:jc w:val="both"/>
        <w:rPr>
          <w:sz w:val="20"/>
        </w:rPr>
      </w:pPr>
      <w:r w:rsidRPr="00B34608">
        <w:rPr>
          <w:sz w:val="20"/>
        </w:rPr>
        <w:t xml:space="preserve">                                          </w:t>
      </w:r>
    </w:p>
    <w:p w:rsidR="00D2569B" w:rsidRPr="00B34608" w:rsidRDefault="00D2569B" w:rsidP="00AE097C">
      <w:pPr>
        <w:spacing w:line="360" w:lineRule="auto"/>
        <w:ind w:left="3402" w:firstLine="567"/>
        <w:rPr>
          <w:sz w:val="20"/>
        </w:rPr>
      </w:pPr>
      <w:r w:rsidRPr="00B34608">
        <w:rPr>
          <w:sz w:val="20"/>
        </w:rPr>
        <w:t xml:space="preserve"> </w:t>
      </w:r>
      <w:r>
        <w:rPr>
          <w:sz w:val="20"/>
        </w:rPr>
        <w:t xml:space="preserve">29 January </w:t>
      </w:r>
      <w:r w:rsidRPr="00B34608">
        <w:rPr>
          <w:sz w:val="20"/>
        </w:rPr>
        <w:t xml:space="preserve">2018 </w:t>
      </w:r>
    </w:p>
    <w:p w:rsidR="00D2569B" w:rsidRPr="00B34608" w:rsidRDefault="00D2569B" w:rsidP="00AE097C">
      <w:pPr>
        <w:spacing w:line="360" w:lineRule="auto"/>
        <w:jc w:val="center"/>
        <w:rPr>
          <w:sz w:val="20"/>
        </w:rPr>
      </w:pPr>
    </w:p>
    <w:p w:rsidR="00D2569B" w:rsidRPr="00B34608" w:rsidRDefault="00D2569B" w:rsidP="00B26CD3">
      <w:r w:rsidRPr="00B34608">
        <w:rPr>
          <w:i/>
          <w:iCs/>
          <w:sz w:val="20"/>
        </w:rPr>
        <w:t xml:space="preserve">2017                                                                                                   </w:t>
      </w:r>
      <w:r>
        <w:rPr>
          <w:i/>
          <w:iCs/>
          <w:sz w:val="20"/>
        </w:rPr>
        <w:t>Presentation currency and accuracy: EUR</w:t>
      </w:r>
    </w:p>
    <w:tbl>
      <w:tblPr>
        <w:tblW w:w="9772" w:type="dxa"/>
        <w:jc w:val="center"/>
        <w:tblLook w:val="00A0" w:firstRow="1" w:lastRow="0" w:firstColumn="1" w:lastColumn="0" w:noHBand="0" w:noVBand="0"/>
      </w:tblPr>
      <w:tblGrid>
        <w:gridCol w:w="842"/>
        <w:gridCol w:w="5249"/>
        <w:gridCol w:w="1130"/>
        <w:gridCol w:w="1275"/>
        <w:gridCol w:w="1276"/>
      </w:tblGrid>
      <w:tr w:rsidR="00D2569B" w:rsidRPr="00B34608" w:rsidTr="00B26CD3">
        <w:trPr>
          <w:trHeight w:val="57"/>
          <w:jc w:val="center"/>
        </w:trPr>
        <w:tc>
          <w:tcPr>
            <w:tcW w:w="842"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55C6D">
            <w:pPr>
              <w:spacing w:line="276" w:lineRule="auto"/>
              <w:jc w:val="center"/>
              <w:rPr>
                <w:b/>
                <w:bCs/>
                <w:sz w:val="20"/>
              </w:rPr>
            </w:pPr>
            <w:r>
              <w:rPr>
                <w:b/>
                <w:bCs/>
                <w:sz w:val="20"/>
              </w:rPr>
              <w:t>Seq. No</w:t>
            </w:r>
          </w:p>
        </w:tc>
        <w:tc>
          <w:tcPr>
            <w:tcW w:w="5249" w:type="dxa"/>
            <w:tcBorders>
              <w:top w:val="single" w:sz="4" w:space="0" w:color="auto"/>
              <w:left w:val="nil"/>
              <w:bottom w:val="single" w:sz="4" w:space="0" w:color="auto"/>
              <w:right w:val="single" w:sz="4" w:space="0" w:color="auto"/>
            </w:tcBorders>
            <w:noWrap/>
            <w:vAlign w:val="center"/>
          </w:tcPr>
          <w:p w:rsidR="00D2569B" w:rsidRPr="00B34608" w:rsidRDefault="00D2569B" w:rsidP="00F55C6D">
            <w:pPr>
              <w:spacing w:line="276" w:lineRule="auto"/>
              <w:jc w:val="center"/>
              <w:rPr>
                <w:b/>
                <w:bCs/>
                <w:sz w:val="20"/>
              </w:rPr>
            </w:pPr>
            <w:r>
              <w:rPr>
                <w:b/>
                <w:bCs/>
                <w:sz w:val="20"/>
              </w:rPr>
              <w:t>Items</w:t>
            </w:r>
          </w:p>
        </w:tc>
        <w:tc>
          <w:tcPr>
            <w:tcW w:w="1130" w:type="dxa"/>
            <w:tcBorders>
              <w:top w:val="single" w:sz="4" w:space="0" w:color="auto"/>
              <w:left w:val="nil"/>
              <w:bottom w:val="single" w:sz="4" w:space="0" w:color="auto"/>
              <w:right w:val="single" w:sz="4" w:space="0" w:color="auto"/>
            </w:tcBorders>
            <w:vAlign w:val="center"/>
          </w:tcPr>
          <w:p w:rsidR="00D2569B" w:rsidRPr="00B34608" w:rsidRDefault="00D2569B" w:rsidP="00F55C6D">
            <w:pPr>
              <w:spacing w:line="276" w:lineRule="auto"/>
              <w:jc w:val="center"/>
              <w:rPr>
                <w:b/>
                <w:bCs/>
                <w:sz w:val="20"/>
              </w:rPr>
            </w:pPr>
            <w:r>
              <w:rPr>
                <w:b/>
                <w:bCs/>
                <w:sz w:val="20"/>
              </w:rPr>
              <w:t>Note No</w:t>
            </w:r>
          </w:p>
        </w:tc>
        <w:tc>
          <w:tcPr>
            <w:tcW w:w="1275" w:type="dxa"/>
            <w:tcBorders>
              <w:top w:val="single" w:sz="4" w:space="0" w:color="auto"/>
              <w:left w:val="nil"/>
              <w:bottom w:val="single" w:sz="4" w:space="0" w:color="auto"/>
              <w:right w:val="single" w:sz="4" w:space="0" w:color="auto"/>
            </w:tcBorders>
            <w:vAlign w:val="center"/>
          </w:tcPr>
          <w:p w:rsidR="00D2569B" w:rsidRPr="00B34608" w:rsidRDefault="00D2569B" w:rsidP="00F55C6D">
            <w:pPr>
              <w:spacing w:line="276" w:lineRule="auto"/>
              <w:jc w:val="center"/>
              <w:rPr>
                <w:b/>
                <w:bCs/>
                <w:sz w:val="20"/>
              </w:rPr>
            </w:pPr>
            <w:r>
              <w:rPr>
                <w:b/>
                <w:bCs/>
                <w:sz w:val="20"/>
              </w:rPr>
              <w:t xml:space="preserve">31 12 </w:t>
            </w:r>
            <w:r w:rsidRPr="00B34608">
              <w:rPr>
                <w:b/>
                <w:bCs/>
                <w:sz w:val="20"/>
              </w:rPr>
              <w:t>2017</w:t>
            </w:r>
          </w:p>
        </w:tc>
        <w:tc>
          <w:tcPr>
            <w:tcW w:w="1276" w:type="dxa"/>
            <w:tcBorders>
              <w:top w:val="single" w:sz="4" w:space="0" w:color="auto"/>
              <w:left w:val="nil"/>
              <w:bottom w:val="single" w:sz="4" w:space="0" w:color="auto"/>
              <w:right w:val="single" w:sz="4" w:space="0" w:color="auto"/>
            </w:tcBorders>
            <w:vAlign w:val="center"/>
          </w:tcPr>
          <w:p w:rsidR="00D2569B" w:rsidRPr="00B34608" w:rsidRDefault="00D2569B" w:rsidP="00F55C6D">
            <w:pPr>
              <w:spacing w:line="276" w:lineRule="auto"/>
              <w:jc w:val="center"/>
              <w:rPr>
                <w:b/>
                <w:bCs/>
                <w:sz w:val="20"/>
              </w:rPr>
            </w:pPr>
            <w:r>
              <w:rPr>
                <w:b/>
                <w:bCs/>
                <w:sz w:val="20"/>
              </w:rPr>
              <w:t xml:space="preserve">31 12 </w:t>
            </w:r>
            <w:r w:rsidRPr="00B34608">
              <w:rPr>
                <w:b/>
                <w:bCs/>
                <w:sz w:val="20"/>
              </w:rPr>
              <w:t>2016</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046203">
            <w:pPr>
              <w:rPr>
                <w:b/>
                <w:bCs/>
                <w:sz w:val="20"/>
              </w:rPr>
            </w:pPr>
            <w:r w:rsidRPr="00B34608">
              <w:rPr>
                <w:b/>
                <w:bCs/>
                <w:sz w:val="20"/>
              </w:rPr>
              <w:t>A.</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b/>
                <w:bCs/>
                <w:sz w:val="20"/>
              </w:rPr>
            </w:pPr>
            <w:r>
              <w:rPr>
                <w:b/>
                <w:bCs/>
                <w:sz w:val="20"/>
              </w:rPr>
              <w:t>OPERATING ACTIVITY INCOME</w:t>
            </w:r>
          </w:p>
        </w:tc>
        <w:tc>
          <w:tcPr>
            <w:tcW w:w="1130" w:type="dxa"/>
            <w:tcBorders>
              <w:top w:val="nil"/>
              <w:left w:val="nil"/>
              <w:bottom w:val="single" w:sz="4" w:space="0" w:color="auto"/>
              <w:right w:val="single" w:sz="4" w:space="0" w:color="auto"/>
            </w:tcBorders>
            <w:noWrap/>
            <w:vAlign w:val="center"/>
          </w:tcPr>
          <w:p w:rsidR="00D2569B" w:rsidRPr="00B34608" w:rsidRDefault="00D2569B" w:rsidP="00046203">
            <w:pPr>
              <w:rPr>
                <w:b/>
                <w:sz w:val="20"/>
              </w:rPr>
            </w:pPr>
            <w:r w:rsidRPr="00B34608">
              <w:rPr>
                <w:b/>
                <w:sz w:val="20"/>
              </w:rPr>
              <w:t> </w:t>
            </w: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jc w:val="right"/>
              <w:rPr>
                <w:b/>
                <w:bCs/>
                <w:sz w:val="20"/>
              </w:rPr>
            </w:pPr>
            <w:r>
              <w:rPr>
                <w:b/>
                <w:bCs/>
                <w:sz w:val="20"/>
              </w:rPr>
              <w:t>21,</w:t>
            </w:r>
            <w:r w:rsidRPr="00B34608">
              <w:rPr>
                <w:b/>
                <w:bCs/>
                <w:sz w:val="20"/>
              </w:rPr>
              <w:t>986</w:t>
            </w:r>
            <w:r>
              <w:rPr>
                <w:b/>
                <w:bCs/>
                <w:sz w:val="20"/>
              </w:rPr>
              <w:t>,</w:t>
            </w:r>
            <w:r w:rsidRPr="00B34608">
              <w:rPr>
                <w:b/>
                <w:bCs/>
                <w:sz w:val="20"/>
              </w:rPr>
              <w:t>526</w:t>
            </w:r>
          </w:p>
        </w:tc>
        <w:tc>
          <w:tcPr>
            <w:tcW w:w="1276" w:type="dxa"/>
            <w:tcBorders>
              <w:top w:val="nil"/>
              <w:left w:val="nil"/>
              <w:bottom w:val="single" w:sz="4" w:space="0" w:color="auto"/>
              <w:right w:val="single" w:sz="4" w:space="0" w:color="auto"/>
            </w:tcBorders>
            <w:noWrap/>
            <w:vAlign w:val="center"/>
          </w:tcPr>
          <w:p w:rsidR="00D2569B" w:rsidRPr="00B34608" w:rsidRDefault="00D2569B" w:rsidP="00046203">
            <w:pPr>
              <w:jc w:val="right"/>
              <w:rPr>
                <w:b/>
                <w:bCs/>
                <w:sz w:val="20"/>
              </w:rPr>
            </w:pPr>
            <w:r>
              <w:rPr>
                <w:b/>
                <w:bCs/>
                <w:sz w:val="20"/>
              </w:rPr>
              <w:t>32,</w:t>
            </w:r>
            <w:r w:rsidRPr="00B34608">
              <w:rPr>
                <w:b/>
                <w:bCs/>
                <w:sz w:val="20"/>
              </w:rPr>
              <w:t>471</w:t>
            </w:r>
            <w:r>
              <w:rPr>
                <w:b/>
                <w:bCs/>
                <w:sz w:val="20"/>
              </w:rPr>
              <w:t>,</w:t>
            </w:r>
            <w:r w:rsidRPr="00B34608">
              <w:rPr>
                <w:b/>
                <w:bCs/>
                <w:sz w:val="20"/>
              </w:rPr>
              <w:t>519</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046203">
            <w:pPr>
              <w:rPr>
                <w:sz w:val="20"/>
              </w:rPr>
            </w:pPr>
            <w:r w:rsidRPr="00B34608">
              <w:rPr>
                <w:sz w:val="20"/>
              </w:rPr>
              <w:t>I.</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sz w:val="20"/>
              </w:rPr>
            </w:pPr>
            <w:r>
              <w:rPr>
                <w:sz w:val="20"/>
              </w:rPr>
              <w:t>INCOME FROM FINANCING</w:t>
            </w:r>
          </w:p>
        </w:tc>
        <w:tc>
          <w:tcPr>
            <w:tcW w:w="1130" w:type="dxa"/>
            <w:tcBorders>
              <w:top w:val="nil"/>
              <w:left w:val="nil"/>
              <w:bottom w:val="single" w:sz="4" w:space="0" w:color="auto"/>
              <w:right w:val="single" w:sz="4" w:space="0" w:color="auto"/>
            </w:tcBorders>
            <w:noWrap/>
            <w:vAlign w:val="center"/>
          </w:tcPr>
          <w:p w:rsidR="00D2569B" w:rsidRPr="00B34608" w:rsidRDefault="00D2569B" w:rsidP="00046203">
            <w:pPr>
              <w:rPr>
                <w:bCs/>
                <w:sz w:val="20"/>
              </w:rPr>
            </w:pPr>
            <w:r w:rsidRPr="00B34608">
              <w:rPr>
                <w:bCs/>
                <w:sz w:val="20"/>
              </w:rPr>
              <w:t> </w:t>
            </w: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rPr>
                <w:bCs/>
                <w:sz w:val="20"/>
              </w:rPr>
            </w:pPr>
            <w:r w:rsidRPr="00B34608">
              <w:rPr>
                <w:bCs/>
                <w:sz w:val="20"/>
              </w:rPr>
              <w:t> </w:t>
            </w:r>
          </w:p>
        </w:tc>
        <w:tc>
          <w:tcPr>
            <w:tcW w:w="1276" w:type="dxa"/>
            <w:tcBorders>
              <w:top w:val="nil"/>
              <w:left w:val="nil"/>
              <w:bottom w:val="single" w:sz="4" w:space="0" w:color="auto"/>
              <w:right w:val="single" w:sz="4" w:space="0" w:color="auto"/>
            </w:tcBorders>
            <w:vAlign w:val="center"/>
          </w:tcPr>
          <w:p w:rsidR="00D2569B" w:rsidRPr="00B34608" w:rsidRDefault="00D2569B" w:rsidP="00046203">
            <w:pPr>
              <w:rPr>
                <w:bCs/>
                <w:sz w:val="20"/>
              </w:rPr>
            </w:pPr>
            <w:r w:rsidRPr="00B34608">
              <w:rPr>
                <w:bCs/>
                <w:sz w:val="20"/>
              </w:rPr>
              <w:t> </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046203">
            <w:pPr>
              <w:rPr>
                <w:sz w:val="20"/>
              </w:rPr>
            </w:pPr>
            <w:r w:rsidRPr="00B34608">
              <w:rPr>
                <w:sz w:val="20"/>
              </w:rPr>
              <w:t>II.</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sz w:val="20"/>
              </w:rPr>
            </w:pPr>
            <w:r>
              <w:rPr>
                <w:sz w:val="20"/>
              </w:rPr>
              <w:t xml:space="preserve">INCOME FROM TAXES AND SOCIAL CONTRIBUTIONS </w:t>
            </w:r>
          </w:p>
        </w:tc>
        <w:tc>
          <w:tcPr>
            <w:tcW w:w="1130" w:type="dxa"/>
            <w:tcBorders>
              <w:top w:val="nil"/>
              <w:left w:val="nil"/>
              <w:bottom w:val="single" w:sz="4" w:space="0" w:color="auto"/>
              <w:right w:val="single" w:sz="4" w:space="0" w:color="auto"/>
            </w:tcBorders>
            <w:noWrap/>
            <w:vAlign w:val="center"/>
          </w:tcPr>
          <w:p w:rsidR="00D2569B" w:rsidRPr="00B34608" w:rsidRDefault="00D2569B" w:rsidP="00046203">
            <w:pPr>
              <w:rPr>
                <w:bCs/>
                <w:sz w:val="20"/>
              </w:rPr>
            </w:pPr>
            <w:r w:rsidRPr="00B34608">
              <w:rPr>
                <w:bCs/>
                <w:sz w:val="20"/>
              </w:rPr>
              <w:t> </w:t>
            </w: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jc w:val="right"/>
              <w:rPr>
                <w:sz w:val="20"/>
              </w:rPr>
            </w:pPr>
            <w:r w:rsidRPr="00B34608">
              <w:rPr>
                <w:sz w:val="20"/>
              </w:rPr>
              <w:t>0</w:t>
            </w:r>
          </w:p>
        </w:tc>
        <w:tc>
          <w:tcPr>
            <w:tcW w:w="1276" w:type="dxa"/>
            <w:tcBorders>
              <w:top w:val="nil"/>
              <w:left w:val="nil"/>
              <w:bottom w:val="single" w:sz="4" w:space="0" w:color="auto"/>
              <w:right w:val="single" w:sz="4" w:space="0" w:color="auto"/>
            </w:tcBorders>
            <w:noWrap/>
            <w:vAlign w:val="center"/>
          </w:tcPr>
          <w:p w:rsidR="00D2569B" w:rsidRPr="00B34608" w:rsidRDefault="00D2569B" w:rsidP="00046203">
            <w:pPr>
              <w:jc w:val="right"/>
              <w:rPr>
                <w:sz w:val="20"/>
              </w:rPr>
            </w:pPr>
            <w:r w:rsidRPr="00B34608">
              <w:rPr>
                <w:sz w:val="20"/>
              </w:rPr>
              <w:t>0</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046203">
            <w:pPr>
              <w:rPr>
                <w:sz w:val="20"/>
              </w:rPr>
            </w:pPr>
            <w:r w:rsidRPr="00B34608">
              <w:rPr>
                <w:sz w:val="20"/>
              </w:rPr>
              <w:t>II.1.</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sz w:val="20"/>
              </w:rPr>
            </w:pPr>
            <w:r>
              <w:rPr>
                <w:sz w:val="20"/>
              </w:rPr>
              <w:t>Net income from taxes</w:t>
            </w:r>
          </w:p>
        </w:tc>
        <w:tc>
          <w:tcPr>
            <w:tcW w:w="1130" w:type="dxa"/>
            <w:tcBorders>
              <w:top w:val="nil"/>
              <w:left w:val="nil"/>
              <w:bottom w:val="single" w:sz="4" w:space="0" w:color="auto"/>
              <w:right w:val="single" w:sz="4" w:space="0" w:color="auto"/>
            </w:tcBorders>
            <w:noWrap/>
            <w:vAlign w:val="center"/>
          </w:tcPr>
          <w:p w:rsidR="00D2569B" w:rsidRPr="00B34608" w:rsidRDefault="00D2569B" w:rsidP="00046203">
            <w:pPr>
              <w:rPr>
                <w:bCs/>
                <w:sz w:val="20"/>
              </w:rPr>
            </w:pPr>
            <w:r w:rsidRPr="00B34608">
              <w:rPr>
                <w:bCs/>
                <w:sz w:val="20"/>
              </w:rPr>
              <w:t> </w:t>
            </w: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rPr>
                <w:bCs/>
                <w:sz w:val="20"/>
              </w:rPr>
            </w:pPr>
            <w:r w:rsidRPr="00B34608">
              <w:rPr>
                <w:bCs/>
                <w:sz w:val="20"/>
              </w:rPr>
              <w:t> </w:t>
            </w:r>
          </w:p>
        </w:tc>
        <w:tc>
          <w:tcPr>
            <w:tcW w:w="1276" w:type="dxa"/>
            <w:tcBorders>
              <w:top w:val="nil"/>
              <w:left w:val="nil"/>
              <w:bottom w:val="single" w:sz="4" w:space="0" w:color="auto"/>
              <w:right w:val="single" w:sz="4" w:space="0" w:color="auto"/>
            </w:tcBorders>
            <w:vAlign w:val="center"/>
          </w:tcPr>
          <w:p w:rsidR="00D2569B" w:rsidRPr="00B34608" w:rsidRDefault="00D2569B" w:rsidP="00046203">
            <w:pPr>
              <w:rPr>
                <w:bCs/>
                <w:sz w:val="20"/>
              </w:rPr>
            </w:pPr>
            <w:r w:rsidRPr="00B34608">
              <w:rPr>
                <w:bCs/>
                <w:sz w:val="20"/>
              </w:rPr>
              <w:t> </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046203">
            <w:pPr>
              <w:rPr>
                <w:sz w:val="20"/>
              </w:rPr>
            </w:pPr>
            <w:r w:rsidRPr="00B34608">
              <w:rPr>
                <w:sz w:val="20"/>
              </w:rPr>
              <w:t>II.1.1.</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sz w:val="20"/>
              </w:rPr>
            </w:pPr>
            <w:r>
              <w:rPr>
                <w:sz w:val="20"/>
              </w:rPr>
              <w:t>Income from taxes</w:t>
            </w:r>
          </w:p>
        </w:tc>
        <w:tc>
          <w:tcPr>
            <w:tcW w:w="1130" w:type="dxa"/>
            <w:tcBorders>
              <w:top w:val="nil"/>
              <w:left w:val="nil"/>
              <w:bottom w:val="single" w:sz="4" w:space="0" w:color="auto"/>
              <w:right w:val="single" w:sz="4" w:space="0" w:color="auto"/>
            </w:tcBorders>
            <w:noWrap/>
            <w:vAlign w:val="center"/>
          </w:tcPr>
          <w:p w:rsidR="00D2569B" w:rsidRPr="00B34608" w:rsidRDefault="00D2569B" w:rsidP="00046203">
            <w:pPr>
              <w:rPr>
                <w:bCs/>
                <w:sz w:val="20"/>
              </w:rPr>
            </w:pPr>
            <w:r w:rsidRPr="00B34608">
              <w:rPr>
                <w:bCs/>
                <w:sz w:val="20"/>
              </w:rPr>
              <w:t> </w:t>
            </w: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rPr>
                <w:bCs/>
                <w:sz w:val="20"/>
              </w:rPr>
            </w:pPr>
            <w:r w:rsidRPr="00B34608">
              <w:rPr>
                <w:bCs/>
                <w:sz w:val="20"/>
              </w:rPr>
              <w:t> </w:t>
            </w:r>
          </w:p>
        </w:tc>
        <w:tc>
          <w:tcPr>
            <w:tcW w:w="1276" w:type="dxa"/>
            <w:tcBorders>
              <w:top w:val="nil"/>
              <w:left w:val="nil"/>
              <w:bottom w:val="single" w:sz="4" w:space="0" w:color="auto"/>
              <w:right w:val="single" w:sz="4" w:space="0" w:color="auto"/>
            </w:tcBorders>
            <w:vAlign w:val="center"/>
          </w:tcPr>
          <w:p w:rsidR="00D2569B" w:rsidRPr="00B34608" w:rsidRDefault="00D2569B" w:rsidP="00046203">
            <w:pPr>
              <w:rPr>
                <w:bCs/>
                <w:sz w:val="20"/>
              </w:rPr>
            </w:pPr>
            <w:r w:rsidRPr="00B34608">
              <w:rPr>
                <w:bCs/>
                <w:sz w:val="20"/>
              </w:rPr>
              <w:t> </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046203">
            <w:pPr>
              <w:rPr>
                <w:sz w:val="20"/>
              </w:rPr>
            </w:pPr>
            <w:r w:rsidRPr="00B34608">
              <w:rPr>
                <w:sz w:val="20"/>
              </w:rPr>
              <w:t>II.1.2.</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sz w:val="20"/>
              </w:rPr>
            </w:pPr>
            <w:r>
              <w:rPr>
                <w:sz w:val="20"/>
              </w:rPr>
              <w:t>Amount of transferrable taxes</w:t>
            </w:r>
          </w:p>
        </w:tc>
        <w:tc>
          <w:tcPr>
            <w:tcW w:w="1130" w:type="dxa"/>
            <w:tcBorders>
              <w:top w:val="nil"/>
              <w:left w:val="nil"/>
              <w:bottom w:val="single" w:sz="4" w:space="0" w:color="auto"/>
              <w:right w:val="single" w:sz="4" w:space="0" w:color="auto"/>
            </w:tcBorders>
            <w:noWrap/>
            <w:vAlign w:val="center"/>
          </w:tcPr>
          <w:p w:rsidR="00D2569B" w:rsidRPr="00B34608" w:rsidRDefault="00D2569B" w:rsidP="00046203">
            <w:pPr>
              <w:rPr>
                <w:bCs/>
                <w:sz w:val="20"/>
              </w:rPr>
            </w:pPr>
            <w:r w:rsidRPr="00B34608">
              <w:rPr>
                <w:bCs/>
                <w:sz w:val="20"/>
              </w:rPr>
              <w:t> </w:t>
            </w: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rPr>
                <w:bCs/>
                <w:sz w:val="20"/>
              </w:rPr>
            </w:pPr>
            <w:r w:rsidRPr="00B34608">
              <w:rPr>
                <w:bCs/>
                <w:sz w:val="20"/>
              </w:rPr>
              <w:t> </w:t>
            </w:r>
          </w:p>
        </w:tc>
        <w:tc>
          <w:tcPr>
            <w:tcW w:w="1276" w:type="dxa"/>
            <w:tcBorders>
              <w:top w:val="nil"/>
              <w:left w:val="nil"/>
              <w:bottom w:val="single" w:sz="4" w:space="0" w:color="auto"/>
              <w:right w:val="single" w:sz="4" w:space="0" w:color="auto"/>
            </w:tcBorders>
            <w:vAlign w:val="center"/>
          </w:tcPr>
          <w:p w:rsidR="00D2569B" w:rsidRPr="00B34608" w:rsidRDefault="00D2569B" w:rsidP="00046203">
            <w:pPr>
              <w:rPr>
                <w:bCs/>
                <w:sz w:val="20"/>
              </w:rPr>
            </w:pPr>
            <w:r w:rsidRPr="00B34608">
              <w:rPr>
                <w:bCs/>
                <w:sz w:val="20"/>
              </w:rPr>
              <w:t> </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046203">
            <w:pPr>
              <w:rPr>
                <w:sz w:val="20"/>
              </w:rPr>
            </w:pPr>
            <w:r w:rsidRPr="00B34608">
              <w:rPr>
                <w:sz w:val="20"/>
              </w:rPr>
              <w:t>II.2.</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sz w:val="20"/>
              </w:rPr>
            </w:pPr>
            <w:r>
              <w:rPr>
                <w:sz w:val="20"/>
              </w:rPr>
              <w:t>Net income from social contributions</w:t>
            </w:r>
          </w:p>
        </w:tc>
        <w:tc>
          <w:tcPr>
            <w:tcW w:w="1130" w:type="dxa"/>
            <w:tcBorders>
              <w:top w:val="nil"/>
              <w:left w:val="nil"/>
              <w:bottom w:val="single" w:sz="4" w:space="0" w:color="auto"/>
              <w:right w:val="single" w:sz="4" w:space="0" w:color="auto"/>
            </w:tcBorders>
            <w:noWrap/>
            <w:vAlign w:val="center"/>
          </w:tcPr>
          <w:p w:rsidR="00D2569B" w:rsidRPr="00B34608" w:rsidRDefault="00D2569B" w:rsidP="00046203">
            <w:pPr>
              <w:rPr>
                <w:bCs/>
                <w:sz w:val="20"/>
              </w:rPr>
            </w:pPr>
            <w:r w:rsidRPr="00B34608">
              <w:rPr>
                <w:bCs/>
                <w:sz w:val="20"/>
              </w:rPr>
              <w:t> </w:t>
            </w: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rPr>
                <w:bCs/>
                <w:sz w:val="20"/>
              </w:rPr>
            </w:pPr>
            <w:r w:rsidRPr="00B34608">
              <w:rPr>
                <w:bCs/>
                <w:sz w:val="20"/>
              </w:rPr>
              <w:t> </w:t>
            </w:r>
          </w:p>
        </w:tc>
        <w:tc>
          <w:tcPr>
            <w:tcW w:w="1276" w:type="dxa"/>
            <w:tcBorders>
              <w:top w:val="nil"/>
              <w:left w:val="nil"/>
              <w:bottom w:val="single" w:sz="4" w:space="0" w:color="auto"/>
              <w:right w:val="single" w:sz="4" w:space="0" w:color="auto"/>
            </w:tcBorders>
            <w:vAlign w:val="center"/>
          </w:tcPr>
          <w:p w:rsidR="00D2569B" w:rsidRPr="00B34608" w:rsidRDefault="00D2569B" w:rsidP="00046203">
            <w:pPr>
              <w:rPr>
                <w:bCs/>
                <w:sz w:val="20"/>
              </w:rPr>
            </w:pPr>
            <w:r w:rsidRPr="00B34608">
              <w:rPr>
                <w:bCs/>
                <w:sz w:val="20"/>
              </w:rPr>
              <w:t> </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046203">
            <w:pPr>
              <w:rPr>
                <w:sz w:val="20"/>
              </w:rPr>
            </w:pPr>
            <w:r w:rsidRPr="00B34608">
              <w:rPr>
                <w:sz w:val="20"/>
              </w:rPr>
              <w:t>II.2.1.</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sz w:val="20"/>
              </w:rPr>
            </w:pPr>
            <w:r>
              <w:rPr>
                <w:sz w:val="20"/>
              </w:rPr>
              <w:t>Income from social contributions</w:t>
            </w:r>
          </w:p>
        </w:tc>
        <w:tc>
          <w:tcPr>
            <w:tcW w:w="1130" w:type="dxa"/>
            <w:tcBorders>
              <w:top w:val="nil"/>
              <w:left w:val="nil"/>
              <w:bottom w:val="single" w:sz="4" w:space="0" w:color="auto"/>
              <w:right w:val="single" w:sz="4" w:space="0" w:color="auto"/>
            </w:tcBorders>
            <w:noWrap/>
            <w:vAlign w:val="center"/>
          </w:tcPr>
          <w:p w:rsidR="00D2569B" w:rsidRPr="00B34608" w:rsidRDefault="00D2569B" w:rsidP="00046203">
            <w:pPr>
              <w:rPr>
                <w:bCs/>
                <w:sz w:val="20"/>
              </w:rPr>
            </w:pPr>
            <w:r w:rsidRPr="00B34608">
              <w:rPr>
                <w:bCs/>
                <w:sz w:val="20"/>
              </w:rPr>
              <w:t> </w:t>
            </w: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rPr>
                <w:bCs/>
                <w:sz w:val="20"/>
              </w:rPr>
            </w:pPr>
            <w:r w:rsidRPr="00B34608">
              <w:rPr>
                <w:bCs/>
                <w:sz w:val="20"/>
              </w:rPr>
              <w:t> </w:t>
            </w:r>
          </w:p>
        </w:tc>
        <w:tc>
          <w:tcPr>
            <w:tcW w:w="1276" w:type="dxa"/>
            <w:tcBorders>
              <w:top w:val="nil"/>
              <w:left w:val="nil"/>
              <w:bottom w:val="single" w:sz="4" w:space="0" w:color="auto"/>
              <w:right w:val="single" w:sz="4" w:space="0" w:color="auto"/>
            </w:tcBorders>
            <w:vAlign w:val="center"/>
          </w:tcPr>
          <w:p w:rsidR="00D2569B" w:rsidRPr="00B34608" w:rsidRDefault="00D2569B" w:rsidP="00046203">
            <w:pPr>
              <w:rPr>
                <w:bCs/>
                <w:sz w:val="20"/>
              </w:rPr>
            </w:pPr>
            <w:r w:rsidRPr="00B34608">
              <w:rPr>
                <w:bCs/>
                <w:sz w:val="20"/>
              </w:rPr>
              <w:t> </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046203">
            <w:pPr>
              <w:rPr>
                <w:sz w:val="20"/>
              </w:rPr>
            </w:pPr>
            <w:r w:rsidRPr="00B34608">
              <w:rPr>
                <w:sz w:val="20"/>
              </w:rPr>
              <w:t>II.2.2.</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sz w:val="20"/>
              </w:rPr>
            </w:pPr>
            <w:r>
              <w:rPr>
                <w:sz w:val="20"/>
              </w:rPr>
              <w:t>Amount of transferrable social contributions</w:t>
            </w:r>
          </w:p>
        </w:tc>
        <w:tc>
          <w:tcPr>
            <w:tcW w:w="1130" w:type="dxa"/>
            <w:tcBorders>
              <w:top w:val="nil"/>
              <w:left w:val="nil"/>
              <w:bottom w:val="single" w:sz="4" w:space="0" w:color="auto"/>
              <w:right w:val="single" w:sz="4" w:space="0" w:color="auto"/>
            </w:tcBorders>
            <w:noWrap/>
            <w:vAlign w:val="center"/>
          </w:tcPr>
          <w:p w:rsidR="00D2569B" w:rsidRPr="00B34608" w:rsidRDefault="00D2569B" w:rsidP="00046203">
            <w:pPr>
              <w:rPr>
                <w:bCs/>
                <w:sz w:val="20"/>
              </w:rPr>
            </w:pPr>
            <w:r w:rsidRPr="00B34608">
              <w:rPr>
                <w:bCs/>
                <w:sz w:val="20"/>
              </w:rPr>
              <w:t> </w:t>
            </w: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rPr>
                <w:bCs/>
                <w:sz w:val="20"/>
              </w:rPr>
            </w:pPr>
            <w:r w:rsidRPr="00B34608">
              <w:rPr>
                <w:bCs/>
                <w:sz w:val="20"/>
              </w:rPr>
              <w:t> </w:t>
            </w:r>
          </w:p>
        </w:tc>
        <w:tc>
          <w:tcPr>
            <w:tcW w:w="1276" w:type="dxa"/>
            <w:tcBorders>
              <w:top w:val="nil"/>
              <w:left w:val="nil"/>
              <w:bottom w:val="single" w:sz="4" w:space="0" w:color="auto"/>
              <w:right w:val="single" w:sz="4" w:space="0" w:color="auto"/>
            </w:tcBorders>
            <w:vAlign w:val="center"/>
          </w:tcPr>
          <w:p w:rsidR="00D2569B" w:rsidRPr="00B34608" w:rsidRDefault="00D2569B" w:rsidP="00046203">
            <w:pPr>
              <w:rPr>
                <w:bCs/>
                <w:sz w:val="20"/>
              </w:rPr>
            </w:pPr>
            <w:r w:rsidRPr="00B34608">
              <w:rPr>
                <w:bCs/>
                <w:sz w:val="20"/>
              </w:rPr>
              <w:t> </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046203">
            <w:pPr>
              <w:rPr>
                <w:sz w:val="20"/>
              </w:rPr>
            </w:pPr>
            <w:r w:rsidRPr="00B34608">
              <w:rPr>
                <w:sz w:val="20"/>
              </w:rPr>
              <w:t>III.</w:t>
            </w:r>
          </w:p>
        </w:tc>
        <w:tc>
          <w:tcPr>
            <w:tcW w:w="5249" w:type="dxa"/>
            <w:tcBorders>
              <w:top w:val="single" w:sz="4" w:space="0" w:color="auto"/>
              <w:left w:val="nil"/>
              <w:bottom w:val="single" w:sz="4" w:space="0" w:color="auto"/>
              <w:right w:val="single" w:sz="4" w:space="0" w:color="auto"/>
            </w:tcBorders>
            <w:vAlign w:val="center"/>
          </w:tcPr>
          <w:p w:rsidR="00D2569B" w:rsidRPr="00AE097C" w:rsidRDefault="00D2569B" w:rsidP="00046203">
            <w:pPr>
              <w:rPr>
                <w:sz w:val="20"/>
              </w:rPr>
            </w:pPr>
            <w:r>
              <w:rPr>
                <w:bCs/>
                <w:sz w:val="20"/>
              </w:rPr>
              <w:t xml:space="preserve">OTHER </w:t>
            </w:r>
            <w:r w:rsidRPr="00AE097C">
              <w:rPr>
                <w:bCs/>
                <w:sz w:val="20"/>
              </w:rPr>
              <w:t>INCOME FROM OPERATING ACTIVITIES</w:t>
            </w:r>
          </w:p>
        </w:tc>
        <w:tc>
          <w:tcPr>
            <w:tcW w:w="1130" w:type="dxa"/>
            <w:tcBorders>
              <w:top w:val="nil"/>
              <w:left w:val="nil"/>
              <w:bottom w:val="single" w:sz="4" w:space="0" w:color="auto"/>
              <w:right w:val="single" w:sz="4" w:space="0" w:color="auto"/>
            </w:tcBorders>
            <w:noWrap/>
            <w:vAlign w:val="center"/>
          </w:tcPr>
          <w:p w:rsidR="00D2569B" w:rsidRPr="00B34608" w:rsidRDefault="00D2569B" w:rsidP="00AB5345">
            <w:pPr>
              <w:jc w:val="center"/>
              <w:rPr>
                <w:bCs/>
                <w:sz w:val="20"/>
              </w:rPr>
            </w:pPr>
            <w:r w:rsidRPr="00B34608">
              <w:rPr>
                <w:bCs/>
                <w:sz w:val="20"/>
              </w:rPr>
              <w:t>8</w:t>
            </w: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jc w:val="right"/>
              <w:rPr>
                <w:sz w:val="20"/>
              </w:rPr>
            </w:pPr>
            <w:r w:rsidRPr="00B34608">
              <w:rPr>
                <w:sz w:val="20"/>
              </w:rPr>
              <w:t>21</w:t>
            </w:r>
            <w:r>
              <w:rPr>
                <w:sz w:val="20"/>
              </w:rPr>
              <w:t>,</w:t>
            </w:r>
            <w:r w:rsidRPr="00B34608">
              <w:rPr>
                <w:sz w:val="20"/>
              </w:rPr>
              <w:t>986</w:t>
            </w:r>
            <w:r>
              <w:rPr>
                <w:sz w:val="20"/>
              </w:rPr>
              <w:t>,</w:t>
            </w:r>
            <w:r w:rsidRPr="00B34608">
              <w:rPr>
                <w:sz w:val="20"/>
              </w:rPr>
              <w:t>526</w:t>
            </w:r>
          </w:p>
        </w:tc>
        <w:tc>
          <w:tcPr>
            <w:tcW w:w="1276" w:type="dxa"/>
            <w:tcBorders>
              <w:top w:val="nil"/>
              <w:left w:val="nil"/>
              <w:bottom w:val="single" w:sz="4" w:space="0" w:color="auto"/>
              <w:right w:val="single" w:sz="4" w:space="0" w:color="auto"/>
            </w:tcBorders>
            <w:noWrap/>
            <w:vAlign w:val="center"/>
          </w:tcPr>
          <w:p w:rsidR="00D2569B" w:rsidRPr="00B34608" w:rsidRDefault="00D2569B" w:rsidP="00046203">
            <w:pPr>
              <w:jc w:val="right"/>
              <w:rPr>
                <w:sz w:val="20"/>
              </w:rPr>
            </w:pPr>
            <w:r>
              <w:rPr>
                <w:sz w:val="20"/>
              </w:rPr>
              <w:t>32,</w:t>
            </w:r>
            <w:r w:rsidRPr="00B34608">
              <w:rPr>
                <w:sz w:val="20"/>
              </w:rPr>
              <w:t>471</w:t>
            </w:r>
            <w:r>
              <w:rPr>
                <w:sz w:val="20"/>
              </w:rPr>
              <w:t>,</w:t>
            </w:r>
            <w:r w:rsidRPr="00B34608">
              <w:rPr>
                <w:sz w:val="20"/>
              </w:rPr>
              <w:t>519</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046203">
            <w:pPr>
              <w:rPr>
                <w:sz w:val="20"/>
              </w:rPr>
            </w:pPr>
            <w:r w:rsidRPr="00B34608">
              <w:rPr>
                <w:sz w:val="20"/>
              </w:rPr>
              <w:t>III.1.</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sz w:val="20"/>
              </w:rPr>
            </w:pPr>
            <w:r>
              <w:rPr>
                <w:sz w:val="20"/>
              </w:rPr>
              <w:t>Other income from operating activities</w:t>
            </w:r>
          </w:p>
        </w:tc>
        <w:tc>
          <w:tcPr>
            <w:tcW w:w="1130" w:type="dxa"/>
            <w:tcBorders>
              <w:top w:val="nil"/>
              <w:left w:val="nil"/>
              <w:bottom w:val="single" w:sz="4" w:space="0" w:color="auto"/>
              <w:right w:val="single" w:sz="4" w:space="0" w:color="auto"/>
            </w:tcBorders>
            <w:noWrap/>
            <w:vAlign w:val="center"/>
          </w:tcPr>
          <w:p w:rsidR="00D2569B" w:rsidRPr="00B34608" w:rsidRDefault="00D2569B" w:rsidP="00AB5345">
            <w:pPr>
              <w:jc w:val="center"/>
              <w:rPr>
                <w:bCs/>
                <w:sz w:val="20"/>
              </w:rPr>
            </w:pP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jc w:val="right"/>
              <w:rPr>
                <w:sz w:val="20"/>
              </w:rPr>
            </w:pPr>
            <w:r w:rsidRPr="00B34608">
              <w:rPr>
                <w:sz w:val="20"/>
              </w:rPr>
              <w:t>21</w:t>
            </w:r>
            <w:r>
              <w:rPr>
                <w:sz w:val="20"/>
              </w:rPr>
              <w:t>,</w:t>
            </w:r>
            <w:r w:rsidRPr="00B34608">
              <w:rPr>
                <w:sz w:val="20"/>
              </w:rPr>
              <w:t>986</w:t>
            </w:r>
            <w:r>
              <w:rPr>
                <w:sz w:val="20"/>
              </w:rPr>
              <w:t>,</w:t>
            </w:r>
            <w:r w:rsidRPr="00B34608">
              <w:rPr>
                <w:sz w:val="20"/>
              </w:rPr>
              <w:t>526</w:t>
            </w:r>
          </w:p>
        </w:tc>
        <w:tc>
          <w:tcPr>
            <w:tcW w:w="1276" w:type="dxa"/>
            <w:tcBorders>
              <w:top w:val="nil"/>
              <w:left w:val="nil"/>
              <w:bottom w:val="single" w:sz="4" w:space="0" w:color="auto"/>
              <w:right w:val="single" w:sz="4" w:space="0" w:color="auto"/>
            </w:tcBorders>
            <w:vAlign w:val="center"/>
          </w:tcPr>
          <w:p w:rsidR="00D2569B" w:rsidRPr="00B34608" w:rsidRDefault="00D2569B" w:rsidP="00046203">
            <w:pPr>
              <w:jc w:val="right"/>
              <w:rPr>
                <w:sz w:val="20"/>
              </w:rPr>
            </w:pPr>
            <w:r>
              <w:rPr>
                <w:sz w:val="20"/>
              </w:rPr>
              <w:t>32,</w:t>
            </w:r>
            <w:r w:rsidRPr="00B34608">
              <w:rPr>
                <w:sz w:val="20"/>
              </w:rPr>
              <w:t>471</w:t>
            </w:r>
            <w:r>
              <w:rPr>
                <w:sz w:val="20"/>
              </w:rPr>
              <w:t>,</w:t>
            </w:r>
            <w:r w:rsidRPr="00B34608">
              <w:rPr>
                <w:sz w:val="20"/>
              </w:rPr>
              <w:t>519</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046203">
            <w:pPr>
              <w:rPr>
                <w:sz w:val="20"/>
              </w:rPr>
            </w:pPr>
            <w:r w:rsidRPr="00B34608">
              <w:rPr>
                <w:sz w:val="20"/>
              </w:rPr>
              <w:t>III.2.</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sz w:val="20"/>
              </w:rPr>
            </w:pPr>
            <w:r>
              <w:rPr>
                <w:sz w:val="20"/>
              </w:rPr>
              <w:t xml:space="preserve">Amount of transferrable other income from operating activities </w:t>
            </w:r>
          </w:p>
        </w:tc>
        <w:tc>
          <w:tcPr>
            <w:tcW w:w="1130" w:type="dxa"/>
            <w:tcBorders>
              <w:top w:val="nil"/>
              <w:left w:val="nil"/>
              <w:bottom w:val="single" w:sz="4" w:space="0" w:color="auto"/>
              <w:right w:val="single" w:sz="4" w:space="0" w:color="auto"/>
            </w:tcBorders>
            <w:noWrap/>
            <w:vAlign w:val="center"/>
          </w:tcPr>
          <w:p w:rsidR="00D2569B" w:rsidRPr="00B34608" w:rsidRDefault="00D2569B" w:rsidP="00AB5345">
            <w:pPr>
              <w:jc w:val="center"/>
              <w:rPr>
                <w:bCs/>
                <w:sz w:val="20"/>
              </w:rPr>
            </w:pP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rPr>
                <w:bCs/>
                <w:sz w:val="20"/>
              </w:rPr>
            </w:pPr>
            <w:r w:rsidRPr="00B34608">
              <w:rPr>
                <w:bCs/>
                <w:sz w:val="20"/>
              </w:rPr>
              <w:t> </w:t>
            </w:r>
          </w:p>
        </w:tc>
        <w:tc>
          <w:tcPr>
            <w:tcW w:w="1276" w:type="dxa"/>
            <w:tcBorders>
              <w:top w:val="nil"/>
              <w:left w:val="nil"/>
              <w:bottom w:val="single" w:sz="4" w:space="0" w:color="auto"/>
              <w:right w:val="single" w:sz="4" w:space="0" w:color="auto"/>
            </w:tcBorders>
            <w:vAlign w:val="center"/>
          </w:tcPr>
          <w:p w:rsidR="00D2569B" w:rsidRPr="00B34608" w:rsidRDefault="00D2569B" w:rsidP="00046203">
            <w:pPr>
              <w:rPr>
                <w:bCs/>
                <w:sz w:val="20"/>
              </w:rPr>
            </w:pPr>
            <w:r w:rsidRPr="00B34608">
              <w:rPr>
                <w:bCs/>
                <w:sz w:val="20"/>
              </w:rPr>
              <w:t> </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046203">
            <w:pPr>
              <w:rPr>
                <w:b/>
                <w:bCs/>
                <w:sz w:val="20"/>
              </w:rPr>
            </w:pPr>
            <w:r w:rsidRPr="00B34608">
              <w:rPr>
                <w:b/>
                <w:bCs/>
                <w:sz w:val="20"/>
              </w:rPr>
              <w:t>B.</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b/>
                <w:bCs/>
                <w:sz w:val="20"/>
              </w:rPr>
            </w:pPr>
            <w:r>
              <w:rPr>
                <w:b/>
                <w:bCs/>
                <w:sz w:val="20"/>
              </w:rPr>
              <w:t xml:space="preserve">OPERATING ACTIVITY EXPENSES </w:t>
            </w:r>
          </w:p>
        </w:tc>
        <w:tc>
          <w:tcPr>
            <w:tcW w:w="1130" w:type="dxa"/>
            <w:tcBorders>
              <w:top w:val="nil"/>
              <w:left w:val="nil"/>
              <w:bottom w:val="single" w:sz="4" w:space="0" w:color="auto"/>
              <w:right w:val="single" w:sz="4" w:space="0" w:color="auto"/>
            </w:tcBorders>
            <w:noWrap/>
            <w:vAlign w:val="center"/>
          </w:tcPr>
          <w:p w:rsidR="00D2569B" w:rsidRPr="00B34608" w:rsidRDefault="00D2569B" w:rsidP="00AB5345">
            <w:pPr>
              <w:jc w:val="center"/>
              <w:rPr>
                <w:bCs/>
                <w:sz w:val="20"/>
              </w:rPr>
            </w:pPr>
            <w:r w:rsidRPr="00B34608">
              <w:rPr>
                <w:bCs/>
                <w:sz w:val="20"/>
              </w:rPr>
              <w:t>9</w:t>
            </w: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jc w:val="right"/>
              <w:rPr>
                <w:b/>
                <w:bCs/>
                <w:sz w:val="20"/>
              </w:rPr>
            </w:pPr>
            <w:r w:rsidRPr="00B34608">
              <w:rPr>
                <w:b/>
                <w:bCs/>
                <w:sz w:val="20"/>
              </w:rPr>
              <w:t>7</w:t>
            </w:r>
            <w:r>
              <w:rPr>
                <w:b/>
                <w:bCs/>
                <w:sz w:val="20"/>
              </w:rPr>
              <w:t>,</w:t>
            </w:r>
            <w:r w:rsidRPr="00B34608">
              <w:rPr>
                <w:b/>
                <w:bCs/>
                <w:sz w:val="20"/>
              </w:rPr>
              <w:t>954</w:t>
            </w:r>
            <w:r>
              <w:rPr>
                <w:b/>
                <w:bCs/>
                <w:sz w:val="20"/>
              </w:rPr>
              <w:t>,</w:t>
            </w:r>
            <w:r w:rsidRPr="00B34608">
              <w:rPr>
                <w:b/>
                <w:bCs/>
                <w:sz w:val="20"/>
              </w:rPr>
              <w:t>264</w:t>
            </w:r>
          </w:p>
        </w:tc>
        <w:tc>
          <w:tcPr>
            <w:tcW w:w="1276" w:type="dxa"/>
            <w:tcBorders>
              <w:top w:val="nil"/>
              <w:left w:val="nil"/>
              <w:bottom w:val="single" w:sz="4" w:space="0" w:color="auto"/>
              <w:right w:val="single" w:sz="4" w:space="0" w:color="auto"/>
            </w:tcBorders>
            <w:noWrap/>
            <w:vAlign w:val="center"/>
          </w:tcPr>
          <w:p w:rsidR="00D2569B" w:rsidRPr="00B34608" w:rsidRDefault="00D2569B" w:rsidP="00046203">
            <w:pPr>
              <w:jc w:val="right"/>
              <w:rPr>
                <w:b/>
                <w:bCs/>
                <w:sz w:val="20"/>
              </w:rPr>
            </w:pPr>
            <w:r w:rsidRPr="00B34608">
              <w:rPr>
                <w:b/>
                <w:bCs/>
                <w:sz w:val="20"/>
              </w:rPr>
              <w:t>(991</w:t>
            </w:r>
            <w:r>
              <w:rPr>
                <w:b/>
                <w:bCs/>
                <w:sz w:val="20"/>
              </w:rPr>
              <w:t>,</w:t>
            </w:r>
            <w:r w:rsidRPr="00B34608">
              <w:rPr>
                <w:b/>
                <w:bCs/>
                <w:sz w:val="20"/>
              </w:rPr>
              <w:t>038)</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046203">
            <w:pPr>
              <w:rPr>
                <w:sz w:val="20"/>
              </w:rPr>
            </w:pPr>
            <w:r w:rsidRPr="00B34608">
              <w:rPr>
                <w:sz w:val="20"/>
              </w:rPr>
              <w:t>I.</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sz w:val="20"/>
              </w:rPr>
            </w:pPr>
            <w:r>
              <w:rPr>
                <w:sz w:val="20"/>
              </w:rPr>
              <w:t xml:space="preserve">AMOUNTS DEPRECIATED AND WRITTEN-OFF </w:t>
            </w:r>
          </w:p>
        </w:tc>
        <w:tc>
          <w:tcPr>
            <w:tcW w:w="1130" w:type="dxa"/>
            <w:tcBorders>
              <w:top w:val="nil"/>
              <w:left w:val="nil"/>
              <w:bottom w:val="single" w:sz="4" w:space="0" w:color="auto"/>
              <w:right w:val="single" w:sz="4" w:space="0" w:color="auto"/>
            </w:tcBorders>
            <w:noWrap/>
            <w:vAlign w:val="center"/>
          </w:tcPr>
          <w:p w:rsidR="00D2569B" w:rsidRPr="00B34608" w:rsidRDefault="00D2569B" w:rsidP="00AB5345">
            <w:pPr>
              <w:jc w:val="center"/>
              <w:rPr>
                <w:sz w:val="20"/>
              </w:rPr>
            </w:pP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rPr>
                <w:sz w:val="20"/>
              </w:rPr>
            </w:pPr>
            <w:r w:rsidRPr="00B34608">
              <w:rPr>
                <w:sz w:val="20"/>
              </w:rPr>
              <w:t> </w:t>
            </w:r>
          </w:p>
        </w:tc>
        <w:tc>
          <w:tcPr>
            <w:tcW w:w="1276" w:type="dxa"/>
            <w:tcBorders>
              <w:top w:val="nil"/>
              <w:left w:val="nil"/>
              <w:bottom w:val="single" w:sz="4" w:space="0" w:color="auto"/>
              <w:right w:val="single" w:sz="4" w:space="0" w:color="auto"/>
            </w:tcBorders>
            <w:vAlign w:val="center"/>
          </w:tcPr>
          <w:p w:rsidR="00D2569B" w:rsidRPr="00B34608" w:rsidRDefault="00D2569B" w:rsidP="00046203">
            <w:pPr>
              <w:rPr>
                <w:sz w:val="20"/>
              </w:rPr>
            </w:pPr>
            <w:r w:rsidRPr="00B34608">
              <w:rPr>
                <w:sz w:val="20"/>
              </w:rPr>
              <w:t> </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046203">
            <w:pPr>
              <w:rPr>
                <w:sz w:val="20"/>
              </w:rPr>
            </w:pPr>
            <w:r w:rsidRPr="00B34608">
              <w:rPr>
                <w:sz w:val="20"/>
              </w:rPr>
              <w:t>II.</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sz w:val="20"/>
              </w:rPr>
            </w:pPr>
            <w:r w:rsidRPr="00B34608">
              <w:rPr>
                <w:sz w:val="20"/>
              </w:rPr>
              <w:t>SOCIAL</w:t>
            </w:r>
            <w:r>
              <w:rPr>
                <w:sz w:val="20"/>
              </w:rPr>
              <w:t xml:space="preserve"> BENEFITS</w:t>
            </w:r>
          </w:p>
        </w:tc>
        <w:tc>
          <w:tcPr>
            <w:tcW w:w="1130" w:type="dxa"/>
            <w:tcBorders>
              <w:top w:val="nil"/>
              <w:left w:val="nil"/>
              <w:bottom w:val="single" w:sz="4" w:space="0" w:color="auto"/>
              <w:right w:val="single" w:sz="4" w:space="0" w:color="auto"/>
            </w:tcBorders>
            <w:noWrap/>
            <w:vAlign w:val="center"/>
          </w:tcPr>
          <w:p w:rsidR="00D2569B" w:rsidRPr="00B34608" w:rsidRDefault="00D2569B" w:rsidP="00AB5345">
            <w:pPr>
              <w:jc w:val="center"/>
              <w:rPr>
                <w:sz w:val="20"/>
              </w:rPr>
            </w:pP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rPr>
                <w:sz w:val="20"/>
              </w:rPr>
            </w:pPr>
            <w:r w:rsidRPr="00B34608">
              <w:rPr>
                <w:sz w:val="20"/>
              </w:rPr>
              <w:t> </w:t>
            </w:r>
          </w:p>
        </w:tc>
        <w:tc>
          <w:tcPr>
            <w:tcW w:w="1276" w:type="dxa"/>
            <w:tcBorders>
              <w:top w:val="nil"/>
              <w:left w:val="nil"/>
              <w:bottom w:val="single" w:sz="4" w:space="0" w:color="auto"/>
              <w:right w:val="single" w:sz="4" w:space="0" w:color="auto"/>
            </w:tcBorders>
            <w:vAlign w:val="center"/>
          </w:tcPr>
          <w:p w:rsidR="00D2569B" w:rsidRPr="00B34608" w:rsidRDefault="00D2569B" w:rsidP="00046203">
            <w:pPr>
              <w:rPr>
                <w:sz w:val="20"/>
              </w:rPr>
            </w:pPr>
            <w:r w:rsidRPr="00B34608">
              <w:rPr>
                <w:sz w:val="20"/>
              </w:rPr>
              <w:t> </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046203">
            <w:pPr>
              <w:rPr>
                <w:sz w:val="20"/>
              </w:rPr>
            </w:pPr>
            <w:r w:rsidRPr="00B34608">
              <w:rPr>
                <w:sz w:val="20"/>
              </w:rPr>
              <w:t>III.</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sz w:val="20"/>
              </w:rPr>
            </w:pPr>
            <w:r w:rsidRPr="00B34608">
              <w:rPr>
                <w:sz w:val="20"/>
              </w:rPr>
              <w:t>FINAN</w:t>
            </w:r>
            <w:r>
              <w:rPr>
                <w:sz w:val="20"/>
              </w:rPr>
              <w:t>CING</w:t>
            </w:r>
          </w:p>
        </w:tc>
        <w:tc>
          <w:tcPr>
            <w:tcW w:w="1130" w:type="dxa"/>
            <w:tcBorders>
              <w:top w:val="nil"/>
              <w:left w:val="nil"/>
              <w:bottom w:val="single" w:sz="4" w:space="0" w:color="auto"/>
              <w:right w:val="single" w:sz="4" w:space="0" w:color="auto"/>
            </w:tcBorders>
            <w:noWrap/>
            <w:vAlign w:val="center"/>
          </w:tcPr>
          <w:p w:rsidR="00D2569B" w:rsidRPr="00B34608" w:rsidRDefault="00D2569B" w:rsidP="00AB5345">
            <w:pPr>
              <w:jc w:val="center"/>
              <w:rPr>
                <w:sz w:val="20"/>
              </w:rPr>
            </w:pP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rPr>
                <w:sz w:val="20"/>
              </w:rPr>
            </w:pPr>
            <w:r w:rsidRPr="00B34608">
              <w:rPr>
                <w:sz w:val="20"/>
              </w:rPr>
              <w:t> </w:t>
            </w:r>
          </w:p>
        </w:tc>
        <w:tc>
          <w:tcPr>
            <w:tcW w:w="1276" w:type="dxa"/>
            <w:tcBorders>
              <w:top w:val="nil"/>
              <w:left w:val="nil"/>
              <w:bottom w:val="single" w:sz="4" w:space="0" w:color="auto"/>
              <w:right w:val="single" w:sz="4" w:space="0" w:color="auto"/>
            </w:tcBorders>
            <w:vAlign w:val="center"/>
          </w:tcPr>
          <w:p w:rsidR="00D2569B" w:rsidRPr="00B34608" w:rsidRDefault="00D2569B" w:rsidP="00046203">
            <w:pPr>
              <w:rPr>
                <w:sz w:val="20"/>
              </w:rPr>
            </w:pPr>
            <w:r w:rsidRPr="00B34608">
              <w:rPr>
                <w:sz w:val="20"/>
              </w:rPr>
              <w:t> </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046203">
            <w:pPr>
              <w:rPr>
                <w:sz w:val="20"/>
              </w:rPr>
            </w:pPr>
            <w:r w:rsidRPr="00B34608">
              <w:rPr>
                <w:sz w:val="20"/>
              </w:rPr>
              <w:t>IV.</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sz w:val="20"/>
              </w:rPr>
            </w:pPr>
            <w:r>
              <w:rPr>
                <w:sz w:val="20"/>
              </w:rPr>
              <w:t>OTHER</w:t>
            </w:r>
          </w:p>
        </w:tc>
        <w:tc>
          <w:tcPr>
            <w:tcW w:w="1130" w:type="dxa"/>
            <w:tcBorders>
              <w:top w:val="nil"/>
              <w:left w:val="nil"/>
              <w:bottom w:val="single" w:sz="4" w:space="0" w:color="auto"/>
              <w:right w:val="single" w:sz="4" w:space="0" w:color="auto"/>
            </w:tcBorders>
            <w:noWrap/>
            <w:vAlign w:val="center"/>
          </w:tcPr>
          <w:p w:rsidR="00D2569B" w:rsidRPr="00B34608" w:rsidRDefault="00D2569B" w:rsidP="00AB5345">
            <w:pPr>
              <w:jc w:val="center"/>
              <w:rPr>
                <w:sz w:val="20"/>
              </w:rPr>
            </w:pP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jc w:val="right"/>
              <w:rPr>
                <w:sz w:val="20"/>
              </w:rPr>
            </w:pPr>
            <w:r w:rsidRPr="00B34608">
              <w:rPr>
                <w:sz w:val="20"/>
              </w:rPr>
              <w:t>7</w:t>
            </w:r>
            <w:r>
              <w:rPr>
                <w:sz w:val="20"/>
              </w:rPr>
              <w:t>,</w:t>
            </w:r>
            <w:r w:rsidRPr="00B34608">
              <w:rPr>
                <w:sz w:val="20"/>
              </w:rPr>
              <w:t>954</w:t>
            </w:r>
            <w:r>
              <w:rPr>
                <w:sz w:val="20"/>
              </w:rPr>
              <w:t>,</w:t>
            </w:r>
            <w:r w:rsidRPr="00B34608">
              <w:rPr>
                <w:sz w:val="20"/>
              </w:rPr>
              <w:t>264</w:t>
            </w:r>
          </w:p>
        </w:tc>
        <w:tc>
          <w:tcPr>
            <w:tcW w:w="1276" w:type="dxa"/>
            <w:tcBorders>
              <w:top w:val="nil"/>
              <w:left w:val="nil"/>
              <w:bottom w:val="single" w:sz="4" w:space="0" w:color="auto"/>
              <w:right w:val="single" w:sz="4" w:space="0" w:color="auto"/>
            </w:tcBorders>
            <w:vAlign w:val="center"/>
          </w:tcPr>
          <w:p w:rsidR="00D2569B" w:rsidRPr="00B34608" w:rsidRDefault="00D2569B" w:rsidP="00046203">
            <w:pPr>
              <w:jc w:val="right"/>
              <w:rPr>
                <w:sz w:val="20"/>
              </w:rPr>
            </w:pPr>
            <w:r>
              <w:rPr>
                <w:sz w:val="20"/>
              </w:rPr>
              <w:t>(991,</w:t>
            </w:r>
            <w:r w:rsidRPr="00B34608">
              <w:rPr>
                <w:sz w:val="20"/>
              </w:rPr>
              <w:t>038)</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noWrap/>
            <w:vAlign w:val="center"/>
          </w:tcPr>
          <w:p w:rsidR="00D2569B" w:rsidRPr="00B34608" w:rsidRDefault="00D2569B" w:rsidP="00046203">
            <w:pPr>
              <w:rPr>
                <w:b/>
                <w:bCs/>
                <w:sz w:val="20"/>
              </w:rPr>
            </w:pPr>
            <w:r w:rsidRPr="00B34608">
              <w:rPr>
                <w:b/>
                <w:bCs/>
                <w:sz w:val="20"/>
              </w:rPr>
              <w:t>C.</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b/>
                <w:bCs/>
                <w:sz w:val="20"/>
              </w:rPr>
            </w:pPr>
            <w:r>
              <w:rPr>
                <w:b/>
                <w:bCs/>
                <w:sz w:val="20"/>
              </w:rPr>
              <w:t xml:space="preserve">OPERATING ACTIVITY SURPLUS OR DEFICIT </w:t>
            </w:r>
          </w:p>
        </w:tc>
        <w:tc>
          <w:tcPr>
            <w:tcW w:w="1130" w:type="dxa"/>
            <w:tcBorders>
              <w:top w:val="nil"/>
              <w:left w:val="nil"/>
              <w:bottom w:val="single" w:sz="4" w:space="0" w:color="auto"/>
              <w:right w:val="single" w:sz="4" w:space="0" w:color="auto"/>
            </w:tcBorders>
            <w:noWrap/>
            <w:vAlign w:val="center"/>
          </w:tcPr>
          <w:p w:rsidR="00D2569B" w:rsidRPr="00B34608" w:rsidRDefault="00D2569B" w:rsidP="00AB5345">
            <w:pPr>
              <w:jc w:val="center"/>
              <w:rPr>
                <w:sz w:val="20"/>
              </w:rPr>
            </w:pPr>
            <w:r w:rsidRPr="00B34608">
              <w:rPr>
                <w:sz w:val="20"/>
              </w:rPr>
              <w:t>10</w:t>
            </w: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jc w:val="right"/>
              <w:rPr>
                <w:b/>
                <w:bCs/>
                <w:sz w:val="20"/>
              </w:rPr>
            </w:pPr>
            <w:r>
              <w:rPr>
                <w:b/>
                <w:bCs/>
                <w:sz w:val="20"/>
              </w:rPr>
              <w:t>29,</w:t>
            </w:r>
            <w:r w:rsidRPr="00B34608">
              <w:rPr>
                <w:b/>
                <w:bCs/>
                <w:sz w:val="20"/>
              </w:rPr>
              <w:t>940</w:t>
            </w:r>
            <w:r>
              <w:rPr>
                <w:b/>
                <w:bCs/>
                <w:sz w:val="20"/>
              </w:rPr>
              <w:t>,</w:t>
            </w:r>
            <w:r w:rsidRPr="00B34608">
              <w:rPr>
                <w:b/>
                <w:bCs/>
                <w:sz w:val="20"/>
              </w:rPr>
              <w:t>790</w:t>
            </w:r>
          </w:p>
        </w:tc>
        <w:tc>
          <w:tcPr>
            <w:tcW w:w="1276" w:type="dxa"/>
            <w:tcBorders>
              <w:top w:val="nil"/>
              <w:left w:val="nil"/>
              <w:bottom w:val="single" w:sz="4" w:space="0" w:color="auto"/>
              <w:right w:val="single" w:sz="4" w:space="0" w:color="auto"/>
            </w:tcBorders>
            <w:noWrap/>
            <w:vAlign w:val="center"/>
          </w:tcPr>
          <w:p w:rsidR="00D2569B" w:rsidRPr="00B34608" w:rsidRDefault="00D2569B" w:rsidP="00046203">
            <w:pPr>
              <w:jc w:val="right"/>
              <w:rPr>
                <w:b/>
                <w:bCs/>
                <w:sz w:val="20"/>
              </w:rPr>
            </w:pPr>
            <w:r w:rsidRPr="00B34608">
              <w:rPr>
                <w:b/>
                <w:bCs/>
                <w:sz w:val="20"/>
              </w:rPr>
              <w:t>31</w:t>
            </w:r>
            <w:r>
              <w:rPr>
                <w:b/>
                <w:bCs/>
                <w:sz w:val="20"/>
              </w:rPr>
              <w:t>,</w:t>
            </w:r>
            <w:r w:rsidRPr="00B34608">
              <w:rPr>
                <w:b/>
                <w:bCs/>
                <w:sz w:val="20"/>
              </w:rPr>
              <w:t>480</w:t>
            </w:r>
            <w:r>
              <w:rPr>
                <w:b/>
                <w:bCs/>
                <w:sz w:val="20"/>
              </w:rPr>
              <w:t>,</w:t>
            </w:r>
            <w:r w:rsidRPr="00B34608">
              <w:rPr>
                <w:b/>
                <w:bCs/>
                <w:sz w:val="20"/>
              </w:rPr>
              <w:t>481</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noWrap/>
            <w:vAlign w:val="center"/>
          </w:tcPr>
          <w:p w:rsidR="00D2569B" w:rsidRPr="00B34608" w:rsidRDefault="00D2569B" w:rsidP="00046203">
            <w:pPr>
              <w:rPr>
                <w:b/>
                <w:bCs/>
                <w:sz w:val="20"/>
              </w:rPr>
            </w:pPr>
            <w:r w:rsidRPr="00B34608">
              <w:rPr>
                <w:b/>
                <w:bCs/>
                <w:sz w:val="20"/>
              </w:rPr>
              <w:t>D.</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b/>
                <w:bCs/>
                <w:sz w:val="20"/>
              </w:rPr>
            </w:pPr>
            <w:r>
              <w:rPr>
                <w:b/>
                <w:bCs/>
                <w:sz w:val="20"/>
              </w:rPr>
              <w:t xml:space="preserve">RESULT OF OTHER ACTIVITIES </w:t>
            </w:r>
          </w:p>
        </w:tc>
        <w:tc>
          <w:tcPr>
            <w:tcW w:w="1130" w:type="dxa"/>
            <w:tcBorders>
              <w:top w:val="nil"/>
              <w:left w:val="nil"/>
              <w:bottom w:val="single" w:sz="4" w:space="0" w:color="auto"/>
              <w:right w:val="single" w:sz="4" w:space="0" w:color="auto"/>
            </w:tcBorders>
            <w:noWrap/>
            <w:vAlign w:val="center"/>
          </w:tcPr>
          <w:p w:rsidR="00D2569B" w:rsidRPr="00B34608" w:rsidRDefault="00D2569B" w:rsidP="00AB5345">
            <w:pPr>
              <w:jc w:val="center"/>
              <w:rPr>
                <w:sz w:val="20"/>
              </w:rPr>
            </w:pP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rPr>
                <w:sz w:val="20"/>
              </w:rPr>
            </w:pPr>
            <w:r w:rsidRPr="00B34608">
              <w:rPr>
                <w:sz w:val="20"/>
              </w:rPr>
              <w:t> </w:t>
            </w:r>
          </w:p>
        </w:tc>
        <w:tc>
          <w:tcPr>
            <w:tcW w:w="1276" w:type="dxa"/>
            <w:tcBorders>
              <w:top w:val="nil"/>
              <w:left w:val="nil"/>
              <w:bottom w:val="single" w:sz="4" w:space="0" w:color="auto"/>
              <w:right w:val="single" w:sz="4" w:space="0" w:color="auto"/>
            </w:tcBorders>
            <w:noWrap/>
            <w:vAlign w:val="center"/>
          </w:tcPr>
          <w:p w:rsidR="00D2569B" w:rsidRPr="00B34608" w:rsidRDefault="00D2569B" w:rsidP="00046203">
            <w:pPr>
              <w:rPr>
                <w:sz w:val="20"/>
              </w:rPr>
            </w:pPr>
            <w:r w:rsidRPr="00B34608">
              <w:rPr>
                <w:sz w:val="20"/>
              </w:rPr>
              <w:t> </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noWrap/>
            <w:vAlign w:val="center"/>
          </w:tcPr>
          <w:p w:rsidR="00D2569B" w:rsidRPr="00B34608" w:rsidRDefault="00D2569B" w:rsidP="00046203">
            <w:pPr>
              <w:rPr>
                <w:sz w:val="20"/>
              </w:rPr>
            </w:pPr>
            <w:r w:rsidRPr="00B34608">
              <w:rPr>
                <w:sz w:val="20"/>
              </w:rPr>
              <w:t>I.</w:t>
            </w:r>
          </w:p>
        </w:tc>
        <w:tc>
          <w:tcPr>
            <w:tcW w:w="5249" w:type="dxa"/>
            <w:tcBorders>
              <w:top w:val="single" w:sz="4" w:space="0" w:color="auto"/>
              <w:left w:val="nil"/>
              <w:bottom w:val="single" w:sz="4" w:space="0" w:color="auto"/>
              <w:right w:val="single" w:sz="4" w:space="0" w:color="000000"/>
            </w:tcBorders>
            <w:noWrap/>
            <w:vAlign w:val="center"/>
          </w:tcPr>
          <w:p w:rsidR="00D2569B" w:rsidRPr="00B34608" w:rsidRDefault="00D2569B" w:rsidP="00046203">
            <w:pPr>
              <w:rPr>
                <w:sz w:val="20"/>
              </w:rPr>
            </w:pPr>
            <w:r>
              <w:rPr>
                <w:sz w:val="20"/>
              </w:rPr>
              <w:t>OTHER OPERATING INCOME</w:t>
            </w:r>
          </w:p>
        </w:tc>
        <w:tc>
          <w:tcPr>
            <w:tcW w:w="1130" w:type="dxa"/>
            <w:tcBorders>
              <w:top w:val="nil"/>
              <w:left w:val="nil"/>
              <w:bottom w:val="single" w:sz="4" w:space="0" w:color="auto"/>
              <w:right w:val="single" w:sz="4" w:space="0" w:color="auto"/>
            </w:tcBorders>
            <w:noWrap/>
            <w:vAlign w:val="center"/>
          </w:tcPr>
          <w:p w:rsidR="00D2569B" w:rsidRPr="00B34608" w:rsidRDefault="00D2569B" w:rsidP="00AB5345">
            <w:pPr>
              <w:jc w:val="center"/>
              <w:rPr>
                <w:sz w:val="20"/>
              </w:rPr>
            </w:pP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rPr>
                <w:sz w:val="20"/>
              </w:rPr>
            </w:pPr>
            <w:r w:rsidRPr="00B34608">
              <w:rPr>
                <w:sz w:val="20"/>
              </w:rPr>
              <w:t> </w:t>
            </w:r>
          </w:p>
        </w:tc>
        <w:tc>
          <w:tcPr>
            <w:tcW w:w="1276" w:type="dxa"/>
            <w:tcBorders>
              <w:top w:val="nil"/>
              <w:left w:val="nil"/>
              <w:bottom w:val="single" w:sz="4" w:space="0" w:color="auto"/>
              <w:right w:val="single" w:sz="4" w:space="0" w:color="auto"/>
            </w:tcBorders>
            <w:noWrap/>
            <w:vAlign w:val="center"/>
          </w:tcPr>
          <w:p w:rsidR="00D2569B" w:rsidRPr="00B34608" w:rsidRDefault="00D2569B" w:rsidP="00046203">
            <w:pPr>
              <w:rPr>
                <w:sz w:val="20"/>
              </w:rPr>
            </w:pPr>
            <w:r w:rsidRPr="00B34608">
              <w:rPr>
                <w:sz w:val="20"/>
              </w:rPr>
              <w:t> </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noWrap/>
            <w:vAlign w:val="center"/>
          </w:tcPr>
          <w:p w:rsidR="00D2569B" w:rsidRPr="00B34608" w:rsidRDefault="00D2569B" w:rsidP="00046203">
            <w:pPr>
              <w:rPr>
                <w:sz w:val="20"/>
              </w:rPr>
            </w:pPr>
            <w:r w:rsidRPr="00B34608">
              <w:rPr>
                <w:sz w:val="20"/>
              </w:rPr>
              <w:t>II.</w:t>
            </w:r>
          </w:p>
        </w:tc>
        <w:tc>
          <w:tcPr>
            <w:tcW w:w="5249" w:type="dxa"/>
            <w:tcBorders>
              <w:top w:val="single" w:sz="4" w:space="0" w:color="auto"/>
              <w:left w:val="nil"/>
              <w:bottom w:val="single" w:sz="4" w:space="0" w:color="auto"/>
              <w:right w:val="single" w:sz="4" w:space="0" w:color="000000"/>
            </w:tcBorders>
            <w:noWrap/>
            <w:vAlign w:val="center"/>
          </w:tcPr>
          <w:p w:rsidR="00D2569B" w:rsidRPr="00B34608" w:rsidRDefault="00D2569B" w:rsidP="00046203">
            <w:pPr>
              <w:rPr>
                <w:sz w:val="20"/>
              </w:rPr>
            </w:pPr>
            <w:r>
              <w:rPr>
                <w:sz w:val="20"/>
              </w:rPr>
              <w:t>OTHER OPERATING INCOME TRANSFERRABLE TO THE BUDGET</w:t>
            </w:r>
          </w:p>
        </w:tc>
        <w:tc>
          <w:tcPr>
            <w:tcW w:w="1130" w:type="dxa"/>
            <w:tcBorders>
              <w:top w:val="nil"/>
              <w:left w:val="nil"/>
              <w:bottom w:val="single" w:sz="4" w:space="0" w:color="auto"/>
              <w:right w:val="single" w:sz="4" w:space="0" w:color="auto"/>
            </w:tcBorders>
            <w:noWrap/>
            <w:vAlign w:val="center"/>
          </w:tcPr>
          <w:p w:rsidR="00D2569B" w:rsidRPr="00B34608" w:rsidRDefault="00D2569B" w:rsidP="00AB5345">
            <w:pPr>
              <w:jc w:val="center"/>
              <w:rPr>
                <w:sz w:val="20"/>
              </w:rPr>
            </w:pP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rPr>
                <w:sz w:val="20"/>
              </w:rPr>
            </w:pPr>
            <w:r w:rsidRPr="00B34608">
              <w:rPr>
                <w:sz w:val="20"/>
              </w:rPr>
              <w:t> </w:t>
            </w:r>
          </w:p>
        </w:tc>
        <w:tc>
          <w:tcPr>
            <w:tcW w:w="1276" w:type="dxa"/>
            <w:tcBorders>
              <w:top w:val="nil"/>
              <w:left w:val="nil"/>
              <w:bottom w:val="single" w:sz="4" w:space="0" w:color="auto"/>
              <w:right w:val="single" w:sz="4" w:space="0" w:color="auto"/>
            </w:tcBorders>
            <w:noWrap/>
            <w:vAlign w:val="center"/>
          </w:tcPr>
          <w:p w:rsidR="00D2569B" w:rsidRPr="00B34608" w:rsidRDefault="00D2569B" w:rsidP="00046203">
            <w:pPr>
              <w:rPr>
                <w:sz w:val="20"/>
              </w:rPr>
            </w:pPr>
            <w:r w:rsidRPr="00B34608">
              <w:rPr>
                <w:sz w:val="20"/>
              </w:rPr>
              <w:t> </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noWrap/>
            <w:vAlign w:val="center"/>
          </w:tcPr>
          <w:p w:rsidR="00D2569B" w:rsidRPr="00B34608" w:rsidRDefault="00D2569B" w:rsidP="00046203">
            <w:pPr>
              <w:rPr>
                <w:sz w:val="20"/>
              </w:rPr>
            </w:pPr>
            <w:r w:rsidRPr="00B34608">
              <w:rPr>
                <w:sz w:val="20"/>
              </w:rPr>
              <w:t>III.</w:t>
            </w:r>
          </w:p>
        </w:tc>
        <w:tc>
          <w:tcPr>
            <w:tcW w:w="5249" w:type="dxa"/>
            <w:tcBorders>
              <w:top w:val="single" w:sz="4" w:space="0" w:color="auto"/>
              <w:left w:val="nil"/>
              <w:bottom w:val="single" w:sz="4" w:space="0" w:color="auto"/>
              <w:right w:val="single" w:sz="4" w:space="0" w:color="000000"/>
            </w:tcBorders>
            <w:noWrap/>
            <w:vAlign w:val="center"/>
          </w:tcPr>
          <w:p w:rsidR="00D2569B" w:rsidRPr="00B34608" w:rsidRDefault="00D2569B" w:rsidP="00046203">
            <w:pPr>
              <w:rPr>
                <w:sz w:val="20"/>
              </w:rPr>
            </w:pPr>
            <w:r>
              <w:rPr>
                <w:sz w:val="20"/>
              </w:rPr>
              <w:t>OTHER OPERATING EXPENSES</w:t>
            </w:r>
          </w:p>
        </w:tc>
        <w:tc>
          <w:tcPr>
            <w:tcW w:w="1130" w:type="dxa"/>
            <w:tcBorders>
              <w:top w:val="nil"/>
              <w:left w:val="nil"/>
              <w:bottom w:val="single" w:sz="4" w:space="0" w:color="auto"/>
              <w:right w:val="single" w:sz="4" w:space="0" w:color="auto"/>
            </w:tcBorders>
            <w:noWrap/>
            <w:vAlign w:val="center"/>
          </w:tcPr>
          <w:p w:rsidR="00D2569B" w:rsidRPr="00B34608" w:rsidRDefault="00D2569B" w:rsidP="00AB5345">
            <w:pPr>
              <w:jc w:val="center"/>
              <w:rPr>
                <w:sz w:val="20"/>
              </w:rPr>
            </w:pPr>
          </w:p>
        </w:tc>
        <w:tc>
          <w:tcPr>
            <w:tcW w:w="1275" w:type="dxa"/>
            <w:tcBorders>
              <w:top w:val="nil"/>
              <w:left w:val="nil"/>
              <w:bottom w:val="single" w:sz="4" w:space="0" w:color="auto"/>
              <w:right w:val="single" w:sz="4" w:space="0" w:color="auto"/>
            </w:tcBorders>
            <w:noWrap/>
            <w:vAlign w:val="center"/>
          </w:tcPr>
          <w:p w:rsidR="00D2569B" w:rsidRPr="00B34608" w:rsidRDefault="00D2569B" w:rsidP="00046203">
            <w:pPr>
              <w:rPr>
                <w:sz w:val="20"/>
              </w:rPr>
            </w:pPr>
            <w:r w:rsidRPr="00B34608">
              <w:rPr>
                <w:sz w:val="20"/>
              </w:rPr>
              <w:t> </w:t>
            </w:r>
          </w:p>
        </w:tc>
        <w:tc>
          <w:tcPr>
            <w:tcW w:w="1276" w:type="dxa"/>
            <w:tcBorders>
              <w:top w:val="nil"/>
              <w:left w:val="nil"/>
              <w:bottom w:val="single" w:sz="4" w:space="0" w:color="auto"/>
              <w:right w:val="single" w:sz="4" w:space="0" w:color="auto"/>
            </w:tcBorders>
            <w:noWrap/>
            <w:vAlign w:val="center"/>
          </w:tcPr>
          <w:p w:rsidR="00D2569B" w:rsidRPr="00B34608" w:rsidRDefault="00D2569B" w:rsidP="00046203">
            <w:pPr>
              <w:rPr>
                <w:sz w:val="20"/>
              </w:rPr>
            </w:pPr>
            <w:r w:rsidRPr="00B34608">
              <w:rPr>
                <w:sz w:val="20"/>
              </w:rPr>
              <w:t> </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noWrap/>
            <w:vAlign w:val="center"/>
          </w:tcPr>
          <w:p w:rsidR="00D2569B" w:rsidRPr="00B34608" w:rsidRDefault="00D2569B" w:rsidP="00046203">
            <w:pPr>
              <w:rPr>
                <w:b/>
                <w:bCs/>
                <w:sz w:val="20"/>
              </w:rPr>
            </w:pPr>
            <w:r w:rsidRPr="00B34608">
              <w:rPr>
                <w:b/>
                <w:bCs/>
                <w:sz w:val="20"/>
              </w:rPr>
              <w:t>E.</w:t>
            </w:r>
          </w:p>
        </w:tc>
        <w:tc>
          <w:tcPr>
            <w:tcW w:w="5249" w:type="dxa"/>
            <w:tcBorders>
              <w:top w:val="single" w:sz="4" w:space="0" w:color="auto"/>
              <w:left w:val="nil"/>
              <w:bottom w:val="single" w:sz="4" w:space="0" w:color="auto"/>
              <w:right w:val="single" w:sz="4" w:space="0" w:color="auto"/>
            </w:tcBorders>
            <w:vAlign w:val="center"/>
          </w:tcPr>
          <w:p w:rsidR="00D2569B" w:rsidRPr="00B34608" w:rsidRDefault="00D2569B" w:rsidP="00046203">
            <w:pPr>
              <w:rPr>
                <w:b/>
                <w:bCs/>
                <w:sz w:val="20"/>
              </w:rPr>
            </w:pPr>
            <w:r w:rsidRPr="00B34608">
              <w:rPr>
                <w:b/>
                <w:bCs/>
                <w:sz w:val="20"/>
              </w:rPr>
              <w:t>FINAN</w:t>
            </w:r>
            <w:r>
              <w:rPr>
                <w:b/>
                <w:bCs/>
                <w:sz w:val="20"/>
              </w:rPr>
              <w:t xml:space="preserve">CING AND INVESTING ACTIVITY RESULT </w:t>
            </w:r>
          </w:p>
        </w:tc>
        <w:tc>
          <w:tcPr>
            <w:tcW w:w="1130" w:type="dxa"/>
            <w:tcBorders>
              <w:top w:val="nil"/>
              <w:left w:val="nil"/>
              <w:bottom w:val="single" w:sz="4" w:space="0" w:color="auto"/>
              <w:right w:val="single" w:sz="4" w:space="0" w:color="auto"/>
            </w:tcBorders>
            <w:noWrap/>
            <w:vAlign w:val="center"/>
          </w:tcPr>
          <w:p w:rsidR="00D2569B" w:rsidRPr="00B34608" w:rsidRDefault="00D2569B" w:rsidP="00AB5345">
            <w:pPr>
              <w:jc w:val="center"/>
              <w:rPr>
                <w:sz w:val="20"/>
              </w:rPr>
            </w:pPr>
            <w:r w:rsidRPr="00B34608">
              <w:rPr>
                <w:sz w:val="20"/>
              </w:rPr>
              <w:t>11</w:t>
            </w:r>
          </w:p>
        </w:tc>
        <w:tc>
          <w:tcPr>
            <w:tcW w:w="1275" w:type="dxa"/>
            <w:tcBorders>
              <w:top w:val="nil"/>
              <w:left w:val="nil"/>
              <w:bottom w:val="single" w:sz="4" w:space="0" w:color="auto"/>
              <w:right w:val="single" w:sz="4" w:space="0" w:color="auto"/>
            </w:tcBorders>
            <w:noWrap/>
            <w:vAlign w:val="center"/>
          </w:tcPr>
          <w:p w:rsidR="00D2569B" w:rsidRPr="00B34608" w:rsidRDefault="00D2569B" w:rsidP="001407AF">
            <w:pPr>
              <w:jc w:val="right"/>
              <w:rPr>
                <w:b/>
                <w:bCs/>
                <w:sz w:val="20"/>
              </w:rPr>
            </w:pPr>
            <w:r>
              <w:rPr>
                <w:b/>
                <w:bCs/>
                <w:sz w:val="20"/>
              </w:rPr>
              <w:t>(837,</w:t>
            </w:r>
            <w:r w:rsidRPr="00B34608">
              <w:rPr>
                <w:b/>
                <w:bCs/>
                <w:sz w:val="20"/>
              </w:rPr>
              <w:t>026)</w:t>
            </w:r>
          </w:p>
        </w:tc>
        <w:tc>
          <w:tcPr>
            <w:tcW w:w="1276" w:type="dxa"/>
            <w:tcBorders>
              <w:top w:val="nil"/>
              <w:left w:val="nil"/>
              <w:bottom w:val="single" w:sz="4" w:space="0" w:color="auto"/>
              <w:right w:val="single" w:sz="4" w:space="0" w:color="auto"/>
            </w:tcBorders>
            <w:noWrap/>
            <w:vAlign w:val="center"/>
          </w:tcPr>
          <w:p w:rsidR="00D2569B" w:rsidRPr="00B34608" w:rsidRDefault="00D2569B" w:rsidP="00B26CD3">
            <w:pPr>
              <w:jc w:val="right"/>
              <w:rPr>
                <w:b/>
                <w:bCs/>
                <w:sz w:val="20"/>
              </w:rPr>
            </w:pPr>
            <w:r w:rsidRPr="00B34608">
              <w:rPr>
                <w:b/>
                <w:bCs/>
                <w:sz w:val="20"/>
              </w:rPr>
              <w:t>(2</w:t>
            </w:r>
            <w:r>
              <w:rPr>
                <w:b/>
                <w:bCs/>
                <w:sz w:val="20"/>
              </w:rPr>
              <w:t>,</w:t>
            </w:r>
            <w:r w:rsidRPr="00B34608">
              <w:rPr>
                <w:b/>
                <w:bCs/>
                <w:sz w:val="20"/>
              </w:rPr>
              <w:t>004</w:t>
            </w:r>
            <w:r>
              <w:rPr>
                <w:b/>
                <w:bCs/>
                <w:sz w:val="20"/>
              </w:rPr>
              <w:t>,</w:t>
            </w:r>
            <w:r w:rsidRPr="00B34608">
              <w:rPr>
                <w:b/>
                <w:bCs/>
                <w:sz w:val="20"/>
              </w:rPr>
              <w:t>053)</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7D12ED">
            <w:pPr>
              <w:rPr>
                <w:b/>
                <w:bCs/>
                <w:sz w:val="20"/>
              </w:rPr>
            </w:pPr>
            <w:r w:rsidRPr="00B34608">
              <w:rPr>
                <w:b/>
                <w:bCs/>
                <w:sz w:val="20"/>
              </w:rPr>
              <w:t>F.</w:t>
            </w:r>
          </w:p>
        </w:tc>
        <w:tc>
          <w:tcPr>
            <w:tcW w:w="5249" w:type="dxa"/>
            <w:tcBorders>
              <w:top w:val="single" w:sz="4" w:space="0" w:color="auto"/>
              <w:left w:val="nil"/>
              <w:bottom w:val="single" w:sz="4" w:space="0" w:color="auto"/>
              <w:right w:val="single" w:sz="4" w:space="0" w:color="000000"/>
            </w:tcBorders>
            <w:vAlign w:val="center"/>
          </w:tcPr>
          <w:p w:rsidR="00D2569B" w:rsidRPr="00702808" w:rsidRDefault="00D2569B" w:rsidP="007D12ED">
            <w:pPr>
              <w:rPr>
                <w:b/>
                <w:bCs/>
                <w:sz w:val="20"/>
              </w:rPr>
            </w:pPr>
            <w:r w:rsidRPr="00702808">
              <w:rPr>
                <w:b/>
                <w:bCs/>
                <w:sz w:val="20"/>
              </w:rPr>
              <w:t>EFFECT</w:t>
            </w:r>
            <w:r>
              <w:rPr>
                <w:b/>
                <w:bCs/>
                <w:sz w:val="20"/>
              </w:rPr>
              <w:t>S</w:t>
            </w:r>
            <w:r w:rsidRPr="00702808">
              <w:rPr>
                <w:b/>
                <w:bCs/>
                <w:sz w:val="20"/>
              </w:rPr>
              <w:t xml:space="preserve"> OF CHANGES IN ACCOUNTING POLICIES AND OF CORRECTI</w:t>
            </w:r>
            <w:r>
              <w:rPr>
                <w:b/>
                <w:bCs/>
                <w:sz w:val="20"/>
              </w:rPr>
              <w:t>ON</w:t>
            </w:r>
            <w:r w:rsidRPr="00702808">
              <w:rPr>
                <w:b/>
                <w:bCs/>
                <w:sz w:val="20"/>
              </w:rPr>
              <w:t xml:space="preserve"> OF MATERIAL ACCOUNTING ERRORS </w:t>
            </w:r>
          </w:p>
        </w:tc>
        <w:tc>
          <w:tcPr>
            <w:tcW w:w="1130" w:type="dxa"/>
            <w:tcBorders>
              <w:top w:val="nil"/>
              <w:left w:val="nil"/>
              <w:bottom w:val="single" w:sz="4" w:space="0" w:color="auto"/>
              <w:right w:val="single" w:sz="4" w:space="0" w:color="auto"/>
            </w:tcBorders>
            <w:vAlign w:val="center"/>
          </w:tcPr>
          <w:p w:rsidR="00D2569B" w:rsidRPr="00B34608" w:rsidRDefault="00D2569B" w:rsidP="007D12ED">
            <w:pPr>
              <w:rPr>
                <w:bCs/>
                <w:sz w:val="20"/>
              </w:rPr>
            </w:pPr>
            <w:r w:rsidRPr="00B34608">
              <w:rPr>
                <w:bCs/>
                <w:sz w:val="20"/>
              </w:rPr>
              <w:t> </w:t>
            </w:r>
          </w:p>
        </w:tc>
        <w:tc>
          <w:tcPr>
            <w:tcW w:w="1275" w:type="dxa"/>
            <w:tcBorders>
              <w:top w:val="nil"/>
              <w:left w:val="nil"/>
              <w:bottom w:val="single" w:sz="4" w:space="0" w:color="auto"/>
              <w:right w:val="single" w:sz="4" w:space="0" w:color="auto"/>
            </w:tcBorders>
            <w:noWrap/>
            <w:vAlign w:val="center"/>
          </w:tcPr>
          <w:p w:rsidR="00D2569B" w:rsidRPr="00B34608" w:rsidRDefault="00D2569B" w:rsidP="007D12ED">
            <w:pPr>
              <w:rPr>
                <w:sz w:val="20"/>
              </w:rPr>
            </w:pPr>
            <w:r w:rsidRPr="00B34608">
              <w:rPr>
                <w:sz w:val="20"/>
              </w:rPr>
              <w:t> </w:t>
            </w:r>
          </w:p>
        </w:tc>
        <w:tc>
          <w:tcPr>
            <w:tcW w:w="1276" w:type="dxa"/>
            <w:tcBorders>
              <w:top w:val="nil"/>
              <w:left w:val="nil"/>
              <w:bottom w:val="single" w:sz="4" w:space="0" w:color="auto"/>
              <w:right w:val="single" w:sz="4" w:space="0" w:color="auto"/>
            </w:tcBorders>
            <w:noWrap/>
            <w:vAlign w:val="center"/>
          </w:tcPr>
          <w:p w:rsidR="00D2569B" w:rsidRPr="00B34608" w:rsidRDefault="00D2569B" w:rsidP="007D12ED">
            <w:pPr>
              <w:rPr>
                <w:sz w:val="20"/>
              </w:rPr>
            </w:pPr>
            <w:r w:rsidRPr="00B34608">
              <w:rPr>
                <w:sz w:val="20"/>
              </w:rPr>
              <w:t> </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7D12ED">
            <w:pPr>
              <w:rPr>
                <w:b/>
                <w:bCs/>
                <w:sz w:val="20"/>
              </w:rPr>
            </w:pPr>
            <w:r w:rsidRPr="00B34608">
              <w:rPr>
                <w:b/>
                <w:bCs/>
                <w:sz w:val="20"/>
              </w:rPr>
              <w:t>G.</w:t>
            </w:r>
          </w:p>
        </w:tc>
        <w:tc>
          <w:tcPr>
            <w:tcW w:w="5249" w:type="dxa"/>
            <w:tcBorders>
              <w:top w:val="single" w:sz="4" w:space="0" w:color="auto"/>
              <w:left w:val="nil"/>
              <w:bottom w:val="single" w:sz="4" w:space="0" w:color="auto"/>
              <w:right w:val="single" w:sz="4" w:space="0" w:color="auto"/>
            </w:tcBorders>
            <w:vAlign w:val="center"/>
          </w:tcPr>
          <w:p w:rsidR="00D2569B" w:rsidRPr="00702808" w:rsidRDefault="00D2569B" w:rsidP="007D12ED">
            <w:pPr>
              <w:rPr>
                <w:b/>
                <w:bCs/>
                <w:sz w:val="20"/>
              </w:rPr>
            </w:pPr>
            <w:r w:rsidRPr="00702808">
              <w:rPr>
                <w:b/>
                <w:bCs/>
                <w:sz w:val="20"/>
              </w:rPr>
              <w:t>NET SURPLUS OR DEFICIT BEFORE EFFECT</w:t>
            </w:r>
            <w:r>
              <w:rPr>
                <w:b/>
                <w:bCs/>
                <w:sz w:val="20"/>
              </w:rPr>
              <w:t>S</w:t>
            </w:r>
            <w:r w:rsidRPr="00702808">
              <w:rPr>
                <w:b/>
                <w:bCs/>
                <w:sz w:val="20"/>
              </w:rPr>
              <w:t xml:space="preserve"> OF</w:t>
            </w:r>
            <w:r>
              <w:rPr>
                <w:b/>
                <w:bCs/>
                <w:sz w:val="20"/>
              </w:rPr>
              <w:t xml:space="preserve"> APPLICATION OF</w:t>
            </w:r>
            <w:r w:rsidRPr="00702808">
              <w:rPr>
                <w:b/>
                <w:bCs/>
                <w:sz w:val="20"/>
              </w:rPr>
              <w:t xml:space="preserve"> EQUITY METHOD </w:t>
            </w:r>
          </w:p>
        </w:tc>
        <w:tc>
          <w:tcPr>
            <w:tcW w:w="1130" w:type="dxa"/>
            <w:tcBorders>
              <w:top w:val="nil"/>
              <w:left w:val="nil"/>
              <w:bottom w:val="single" w:sz="4" w:space="0" w:color="auto"/>
              <w:right w:val="single" w:sz="4" w:space="0" w:color="auto"/>
            </w:tcBorders>
            <w:vAlign w:val="center"/>
          </w:tcPr>
          <w:p w:rsidR="00D2569B" w:rsidRPr="00B34608" w:rsidRDefault="00D2569B" w:rsidP="007D12ED">
            <w:pPr>
              <w:rPr>
                <w:bCs/>
                <w:sz w:val="20"/>
              </w:rPr>
            </w:pPr>
            <w:r w:rsidRPr="00B34608">
              <w:rPr>
                <w:bCs/>
                <w:sz w:val="20"/>
              </w:rPr>
              <w:t> </w:t>
            </w:r>
          </w:p>
        </w:tc>
        <w:tc>
          <w:tcPr>
            <w:tcW w:w="1275" w:type="dxa"/>
            <w:tcBorders>
              <w:top w:val="nil"/>
              <w:left w:val="nil"/>
              <w:bottom w:val="single" w:sz="4" w:space="0" w:color="auto"/>
              <w:right w:val="single" w:sz="4" w:space="0" w:color="auto"/>
            </w:tcBorders>
            <w:noWrap/>
            <w:vAlign w:val="center"/>
          </w:tcPr>
          <w:p w:rsidR="00D2569B" w:rsidRPr="00B34608" w:rsidRDefault="00D2569B" w:rsidP="007D12ED">
            <w:pPr>
              <w:rPr>
                <w:sz w:val="20"/>
              </w:rPr>
            </w:pPr>
            <w:r w:rsidRPr="00B34608">
              <w:rPr>
                <w:sz w:val="20"/>
              </w:rPr>
              <w:t> </w:t>
            </w:r>
          </w:p>
        </w:tc>
        <w:tc>
          <w:tcPr>
            <w:tcW w:w="1276" w:type="dxa"/>
            <w:tcBorders>
              <w:top w:val="nil"/>
              <w:left w:val="nil"/>
              <w:bottom w:val="single" w:sz="4" w:space="0" w:color="auto"/>
              <w:right w:val="single" w:sz="4" w:space="0" w:color="auto"/>
            </w:tcBorders>
            <w:noWrap/>
            <w:vAlign w:val="center"/>
          </w:tcPr>
          <w:p w:rsidR="00D2569B" w:rsidRPr="00B34608" w:rsidRDefault="00D2569B" w:rsidP="007D12ED">
            <w:pPr>
              <w:rPr>
                <w:sz w:val="20"/>
              </w:rPr>
            </w:pPr>
            <w:r w:rsidRPr="00B34608">
              <w:rPr>
                <w:sz w:val="20"/>
              </w:rPr>
              <w:t> </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7D12ED">
            <w:pPr>
              <w:rPr>
                <w:b/>
                <w:bCs/>
                <w:sz w:val="20"/>
              </w:rPr>
            </w:pPr>
            <w:r w:rsidRPr="00B34608">
              <w:rPr>
                <w:b/>
                <w:bCs/>
                <w:sz w:val="20"/>
              </w:rPr>
              <w:t>H.</w:t>
            </w:r>
          </w:p>
        </w:tc>
        <w:tc>
          <w:tcPr>
            <w:tcW w:w="5249" w:type="dxa"/>
            <w:tcBorders>
              <w:top w:val="single" w:sz="4" w:space="0" w:color="auto"/>
              <w:left w:val="nil"/>
              <w:bottom w:val="single" w:sz="4" w:space="0" w:color="auto"/>
              <w:right w:val="single" w:sz="4" w:space="0" w:color="auto"/>
            </w:tcBorders>
            <w:vAlign w:val="center"/>
          </w:tcPr>
          <w:p w:rsidR="00D2569B" w:rsidRPr="00702808" w:rsidRDefault="00D2569B" w:rsidP="007D12ED">
            <w:pPr>
              <w:rPr>
                <w:b/>
                <w:bCs/>
                <w:sz w:val="20"/>
              </w:rPr>
            </w:pPr>
            <w:r w:rsidRPr="00702808">
              <w:rPr>
                <w:b/>
                <w:bCs/>
                <w:sz w:val="20"/>
              </w:rPr>
              <w:t>EFFECT</w:t>
            </w:r>
            <w:r>
              <w:rPr>
                <w:b/>
                <w:bCs/>
                <w:sz w:val="20"/>
              </w:rPr>
              <w:t>S</w:t>
            </w:r>
            <w:r w:rsidRPr="00702808">
              <w:rPr>
                <w:b/>
                <w:bCs/>
                <w:sz w:val="20"/>
              </w:rPr>
              <w:t xml:space="preserve"> OF </w:t>
            </w:r>
            <w:r>
              <w:rPr>
                <w:b/>
                <w:bCs/>
                <w:sz w:val="20"/>
              </w:rPr>
              <w:t xml:space="preserve">APPLICATION OF </w:t>
            </w:r>
            <w:r w:rsidRPr="00702808">
              <w:rPr>
                <w:b/>
                <w:bCs/>
                <w:sz w:val="20"/>
              </w:rPr>
              <w:t>EQUITY METHOD</w:t>
            </w:r>
          </w:p>
        </w:tc>
        <w:tc>
          <w:tcPr>
            <w:tcW w:w="1130" w:type="dxa"/>
            <w:tcBorders>
              <w:top w:val="nil"/>
              <w:left w:val="nil"/>
              <w:bottom w:val="single" w:sz="4" w:space="0" w:color="auto"/>
              <w:right w:val="single" w:sz="4" w:space="0" w:color="auto"/>
            </w:tcBorders>
            <w:vAlign w:val="center"/>
          </w:tcPr>
          <w:p w:rsidR="00D2569B" w:rsidRPr="00B34608" w:rsidRDefault="00D2569B" w:rsidP="007D12ED">
            <w:pPr>
              <w:rPr>
                <w:bCs/>
                <w:sz w:val="20"/>
              </w:rPr>
            </w:pPr>
            <w:r w:rsidRPr="00B34608">
              <w:rPr>
                <w:bCs/>
                <w:sz w:val="20"/>
              </w:rPr>
              <w:t> </w:t>
            </w:r>
          </w:p>
        </w:tc>
        <w:tc>
          <w:tcPr>
            <w:tcW w:w="1275" w:type="dxa"/>
            <w:tcBorders>
              <w:top w:val="nil"/>
              <w:left w:val="nil"/>
              <w:bottom w:val="single" w:sz="4" w:space="0" w:color="auto"/>
              <w:right w:val="single" w:sz="4" w:space="0" w:color="auto"/>
            </w:tcBorders>
            <w:noWrap/>
            <w:vAlign w:val="center"/>
          </w:tcPr>
          <w:p w:rsidR="00D2569B" w:rsidRPr="00B34608" w:rsidRDefault="00D2569B" w:rsidP="007D12ED">
            <w:pPr>
              <w:rPr>
                <w:sz w:val="20"/>
              </w:rPr>
            </w:pPr>
            <w:r w:rsidRPr="00B34608">
              <w:rPr>
                <w:sz w:val="20"/>
              </w:rPr>
              <w:t> </w:t>
            </w:r>
          </w:p>
        </w:tc>
        <w:tc>
          <w:tcPr>
            <w:tcW w:w="1276" w:type="dxa"/>
            <w:tcBorders>
              <w:top w:val="nil"/>
              <w:left w:val="nil"/>
              <w:bottom w:val="single" w:sz="4" w:space="0" w:color="auto"/>
              <w:right w:val="single" w:sz="4" w:space="0" w:color="auto"/>
            </w:tcBorders>
            <w:noWrap/>
            <w:vAlign w:val="center"/>
          </w:tcPr>
          <w:p w:rsidR="00D2569B" w:rsidRPr="00B34608" w:rsidRDefault="00D2569B" w:rsidP="007D12ED">
            <w:pPr>
              <w:rPr>
                <w:sz w:val="20"/>
              </w:rPr>
            </w:pPr>
            <w:r w:rsidRPr="00B34608">
              <w:rPr>
                <w:sz w:val="20"/>
              </w:rPr>
              <w:t> </w:t>
            </w:r>
          </w:p>
        </w:tc>
      </w:tr>
      <w:tr w:rsidR="00D2569B" w:rsidRPr="00B34608" w:rsidTr="00B26CD3">
        <w:trPr>
          <w:trHeight w:val="57"/>
          <w:jc w:val="center"/>
        </w:trPr>
        <w:tc>
          <w:tcPr>
            <w:tcW w:w="842" w:type="dxa"/>
            <w:tcBorders>
              <w:top w:val="nil"/>
              <w:left w:val="single" w:sz="4" w:space="0" w:color="auto"/>
              <w:bottom w:val="single" w:sz="4" w:space="0" w:color="auto"/>
              <w:right w:val="single" w:sz="4" w:space="0" w:color="auto"/>
            </w:tcBorders>
            <w:vAlign w:val="center"/>
          </w:tcPr>
          <w:p w:rsidR="00D2569B" w:rsidRPr="00B34608" w:rsidRDefault="00D2569B" w:rsidP="007D12ED">
            <w:pPr>
              <w:rPr>
                <w:b/>
                <w:bCs/>
                <w:sz w:val="20"/>
              </w:rPr>
            </w:pPr>
            <w:r w:rsidRPr="00B34608">
              <w:rPr>
                <w:b/>
                <w:bCs/>
                <w:sz w:val="20"/>
              </w:rPr>
              <w:t>I.</w:t>
            </w:r>
          </w:p>
        </w:tc>
        <w:tc>
          <w:tcPr>
            <w:tcW w:w="5249" w:type="dxa"/>
            <w:tcBorders>
              <w:top w:val="single" w:sz="4" w:space="0" w:color="auto"/>
              <w:left w:val="nil"/>
              <w:bottom w:val="single" w:sz="4" w:space="0" w:color="auto"/>
              <w:right w:val="single" w:sz="4" w:space="0" w:color="auto"/>
            </w:tcBorders>
            <w:vAlign w:val="center"/>
          </w:tcPr>
          <w:p w:rsidR="00D2569B" w:rsidRPr="00702808" w:rsidRDefault="00D2569B" w:rsidP="007D12ED">
            <w:pPr>
              <w:rPr>
                <w:b/>
                <w:bCs/>
                <w:sz w:val="20"/>
              </w:rPr>
            </w:pPr>
            <w:r w:rsidRPr="00702808">
              <w:rPr>
                <w:b/>
                <w:bCs/>
                <w:sz w:val="20"/>
              </w:rPr>
              <w:t>NET SURPLUS OR DEFICIT</w:t>
            </w:r>
          </w:p>
        </w:tc>
        <w:tc>
          <w:tcPr>
            <w:tcW w:w="1130" w:type="dxa"/>
            <w:tcBorders>
              <w:top w:val="nil"/>
              <w:left w:val="nil"/>
              <w:bottom w:val="single" w:sz="4" w:space="0" w:color="auto"/>
              <w:right w:val="single" w:sz="4" w:space="0" w:color="auto"/>
            </w:tcBorders>
            <w:noWrap/>
            <w:vAlign w:val="center"/>
          </w:tcPr>
          <w:p w:rsidR="00D2569B" w:rsidRPr="00B34608" w:rsidRDefault="00D2569B" w:rsidP="007D12ED">
            <w:pPr>
              <w:rPr>
                <w:sz w:val="20"/>
              </w:rPr>
            </w:pPr>
            <w:r w:rsidRPr="00B34608">
              <w:rPr>
                <w:sz w:val="20"/>
              </w:rPr>
              <w:t> </w:t>
            </w:r>
          </w:p>
        </w:tc>
        <w:tc>
          <w:tcPr>
            <w:tcW w:w="1275" w:type="dxa"/>
            <w:tcBorders>
              <w:top w:val="nil"/>
              <w:left w:val="nil"/>
              <w:bottom w:val="single" w:sz="4" w:space="0" w:color="auto"/>
              <w:right w:val="single" w:sz="4" w:space="0" w:color="auto"/>
            </w:tcBorders>
            <w:noWrap/>
            <w:vAlign w:val="center"/>
          </w:tcPr>
          <w:p w:rsidR="00D2569B" w:rsidRPr="00B34608" w:rsidRDefault="00D2569B" w:rsidP="007D12ED">
            <w:pPr>
              <w:jc w:val="right"/>
              <w:rPr>
                <w:b/>
                <w:bCs/>
                <w:sz w:val="20"/>
              </w:rPr>
            </w:pPr>
            <w:r>
              <w:rPr>
                <w:b/>
                <w:bCs/>
                <w:sz w:val="20"/>
              </w:rPr>
              <w:t>29,103,</w:t>
            </w:r>
            <w:r w:rsidRPr="00B34608">
              <w:rPr>
                <w:b/>
                <w:bCs/>
                <w:sz w:val="20"/>
              </w:rPr>
              <w:t>764</w:t>
            </w:r>
          </w:p>
        </w:tc>
        <w:tc>
          <w:tcPr>
            <w:tcW w:w="1276" w:type="dxa"/>
            <w:tcBorders>
              <w:top w:val="nil"/>
              <w:left w:val="nil"/>
              <w:bottom w:val="single" w:sz="4" w:space="0" w:color="auto"/>
              <w:right w:val="single" w:sz="4" w:space="0" w:color="auto"/>
            </w:tcBorders>
            <w:noWrap/>
            <w:vAlign w:val="center"/>
          </w:tcPr>
          <w:p w:rsidR="00D2569B" w:rsidRPr="00B34608" w:rsidRDefault="00D2569B" w:rsidP="007D12ED">
            <w:pPr>
              <w:jc w:val="right"/>
              <w:rPr>
                <w:b/>
                <w:bCs/>
                <w:sz w:val="20"/>
              </w:rPr>
            </w:pPr>
            <w:r>
              <w:rPr>
                <w:b/>
                <w:bCs/>
                <w:sz w:val="20"/>
              </w:rPr>
              <w:t>29,476,</w:t>
            </w:r>
            <w:r w:rsidRPr="00B34608">
              <w:rPr>
                <w:b/>
                <w:bCs/>
                <w:sz w:val="20"/>
              </w:rPr>
              <w:t>428</w:t>
            </w:r>
          </w:p>
        </w:tc>
      </w:tr>
    </w:tbl>
    <w:p w:rsidR="00D2569B" w:rsidRPr="00B34608" w:rsidRDefault="00D2569B" w:rsidP="00B70185">
      <w:pPr>
        <w:tabs>
          <w:tab w:val="left" w:pos="0"/>
        </w:tabs>
        <w:jc w:val="both"/>
        <w:rPr>
          <w:sz w:val="20"/>
        </w:rPr>
      </w:pPr>
    </w:p>
    <w:p w:rsidR="00D2569B" w:rsidRPr="00B34608" w:rsidRDefault="00D2569B" w:rsidP="00B70185">
      <w:pPr>
        <w:tabs>
          <w:tab w:val="left" w:pos="0"/>
        </w:tabs>
        <w:jc w:val="both"/>
        <w:rPr>
          <w:sz w:val="20"/>
        </w:rPr>
      </w:pPr>
    </w:p>
    <w:p w:rsidR="00D2569B" w:rsidRPr="00B34608" w:rsidRDefault="00D2569B" w:rsidP="00B70185">
      <w:pPr>
        <w:tabs>
          <w:tab w:val="left" w:pos="0"/>
        </w:tabs>
        <w:jc w:val="both"/>
        <w:rPr>
          <w:sz w:val="20"/>
        </w:rPr>
      </w:pPr>
    </w:p>
    <w:p w:rsidR="00D2569B" w:rsidRPr="00B34608" w:rsidRDefault="00D2569B" w:rsidP="00B70185">
      <w:pPr>
        <w:tabs>
          <w:tab w:val="left" w:pos="0"/>
        </w:tabs>
        <w:jc w:val="both"/>
        <w:rPr>
          <w:szCs w:val="22"/>
        </w:rPr>
      </w:pPr>
      <w:r w:rsidRPr="00F33D93">
        <w:rPr>
          <w:szCs w:val="22"/>
        </w:rPr>
        <w:t>Dire</w:t>
      </w:r>
      <w:r>
        <w:rPr>
          <w:szCs w:val="22"/>
        </w:rPr>
        <w:t>ctor</w:t>
      </w:r>
      <w:r w:rsidRPr="00B34608">
        <w:rPr>
          <w:szCs w:val="22"/>
        </w:rPr>
        <w:t xml:space="preserve">                                                                                                                  Aurelija Mažintienė</w:t>
      </w:r>
    </w:p>
    <w:p w:rsidR="00D2569B" w:rsidRPr="00B34608" w:rsidRDefault="00D2569B" w:rsidP="00B70185">
      <w:pPr>
        <w:tabs>
          <w:tab w:val="left" w:pos="0"/>
        </w:tabs>
        <w:jc w:val="both"/>
        <w:rPr>
          <w:sz w:val="20"/>
        </w:rPr>
      </w:pPr>
    </w:p>
    <w:p w:rsidR="00D2569B" w:rsidRPr="00B34608" w:rsidRDefault="00D2569B" w:rsidP="00B70185">
      <w:pPr>
        <w:tabs>
          <w:tab w:val="left" w:pos="0"/>
        </w:tabs>
        <w:jc w:val="both"/>
        <w:rPr>
          <w:sz w:val="20"/>
        </w:rPr>
      </w:pPr>
    </w:p>
    <w:p w:rsidR="00D2569B" w:rsidRPr="00B34608" w:rsidRDefault="00D2569B" w:rsidP="00C61F69">
      <w:pPr>
        <w:tabs>
          <w:tab w:val="left" w:pos="0"/>
        </w:tabs>
        <w:jc w:val="both"/>
        <w:rPr>
          <w:sz w:val="20"/>
        </w:rPr>
      </w:pPr>
      <w:r>
        <w:rPr>
          <w:szCs w:val="22"/>
        </w:rPr>
        <w:t>Acting Chief Accountant</w:t>
      </w:r>
      <w:r w:rsidRPr="00B34608">
        <w:rPr>
          <w:szCs w:val="22"/>
        </w:rPr>
        <w:t xml:space="preserve">                                                                                   Laima Tankevičiūtė</w:t>
      </w:r>
    </w:p>
    <w:tbl>
      <w:tblPr>
        <w:tblpPr w:leftFromText="180" w:rightFromText="180" w:vertAnchor="text" w:horzAnchor="margin" w:tblpX="-811" w:tblpY="-641"/>
        <w:tblOverlap w:val="never"/>
        <w:tblW w:w="10099" w:type="dxa"/>
        <w:tblLayout w:type="fixed"/>
        <w:tblLook w:val="00A0" w:firstRow="1" w:lastRow="0" w:firstColumn="1" w:lastColumn="0" w:noHBand="0" w:noVBand="0"/>
      </w:tblPr>
      <w:tblGrid>
        <w:gridCol w:w="534"/>
        <w:gridCol w:w="2302"/>
        <w:gridCol w:w="196"/>
        <w:gridCol w:w="478"/>
        <w:gridCol w:w="1168"/>
        <w:gridCol w:w="376"/>
        <w:gridCol w:w="475"/>
        <w:gridCol w:w="709"/>
        <w:gridCol w:w="708"/>
        <w:gridCol w:w="1311"/>
        <w:gridCol w:w="1134"/>
        <w:gridCol w:w="539"/>
        <w:gridCol w:w="61"/>
        <w:gridCol w:w="108"/>
      </w:tblGrid>
      <w:tr w:rsidR="00D2569B" w:rsidRPr="00B34608" w:rsidTr="00345038">
        <w:trPr>
          <w:gridAfter w:val="1"/>
          <w:wAfter w:w="108" w:type="dxa"/>
          <w:trHeight w:val="71"/>
        </w:trPr>
        <w:tc>
          <w:tcPr>
            <w:tcW w:w="9991" w:type="dxa"/>
            <w:gridSpan w:val="13"/>
            <w:tcBorders>
              <w:top w:val="nil"/>
              <w:left w:val="nil"/>
              <w:bottom w:val="nil"/>
              <w:right w:val="nil"/>
            </w:tcBorders>
            <w:shd w:val="clear" w:color="000000" w:fill="FFFFFF"/>
            <w:vAlign w:val="bottom"/>
          </w:tcPr>
          <w:p w:rsidR="00D2569B" w:rsidRPr="00B34608" w:rsidRDefault="00D2569B" w:rsidP="00B26CD3">
            <w:pPr>
              <w:pStyle w:val="Antrats"/>
              <w:ind w:left="5670" w:hanging="5528"/>
              <w:jc w:val="left"/>
              <w:rPr>
                <w:i w:val="0"/>
                <w:lang w:val="en-GB" w:eastAsia="en-US"/>
              </w:rPr>
            </w:pPr>
          </w:p>
        </w:tc>
      </w:tr>
      <w:tr w:rsidR="00D2569B" w:rsidRPr="00B34608" w:rsidTr="00345038">
        <w:trPr>
          <w:gridAfter w:val="2"/>
          <w:wAfter w:w="169" w:type="dxa"/>
          <w:trHeight w:val="71"/>
        </w:trPr>
        <w:tc>
          <w:tcPr>
            <w:tcW w:w="9930" w:type="dxa"/>
            <w:gridSpan w:val="12"/>
            <w:tcBorders>
              <w:top w:val="nil"/>
              <w:left w:val="nil"/>
              <w:bottom w:val="nil"/>
              <w:right w:val="nil"/>
            </w:tcBorders>
            <w:shd w:val="clear" w:color="000000" w:fill="FFFFFF"/>
            <w:vAlign w:val="bottom"/>
          </w:tcPr>
          <w:p w:rsidR="00D2569B" w:rsidRPr="00B34608" w:rsidRDefault="00D2569B" w:rsidP="00345038">
            <w:pPr>
              <w:tabs>
                <w:tab w:val="left" w:pos="0"/>
              </w:tabs>
              <w:jc w:val="center"/>
              <w:rPr>
                <w:b/>
                <w:szCs w:val="22"/>
              </w:rPr>
            </w:pPr>
            <w:bookmarkStart w:id="5" w:name="_Toc105398448"/>
            <w:bookmarkStart w:id="6" w:name="_Toc441322994"/>
            <w:bookmarkStart w:id="7" w:name="_Toc441324017"/>
          </w:p>
          <w:p w:rsidR="00D2569B" w:rsidRPr="00B34608" w:rsidRDefault="00D2569B" w:rsidP="00345038">
            <w:pPr>
              <w:tabs>
                <w:tab w:val="left" w:pos="0"/>
              </w:tabs>
              <w:jc w:val="center"/>
              <w:rPr>
                <w:b/>
                <w:szCs w:val="22"/>
              </w:rPr>
            </w:pPr>
          </w:p>
          <w:p w:rsidR="00D2569B" w:rsidRPr="00B34608" w:rsidRDefault="00D2569B" w:rsidP="00345038">
            <w:pPr>
              <w:tabs>
                <w:tab w:val="left" w:pos="0"/>
              </w:tabs>
              <w:jc w:val="center"/>
              <w:rPr>
                <w:b/>
                <w:szCs w:val="22"/>
              </w:rPr>
            </w:pPr>
          </w:p>
          <w:p w:rsidR="00D2569B" w:rsidRPr="00B34608" w:rsidRDefault="00D2569B" w:rsidP="00345038">
            <w:pPr>
              <w:tabs>
                <w:tab w:val="left" w:pos="0"/>
              </w:tabs>
              <w:jc w:val="center"/>
              <w:rPr>
                <w:b/>
                <w:szCs w:val="22"/>
              </w:rPr>
            </w:pPr>
          </w:p>
          <w:p w:rsidR="00D2569B" w:rsidRPr="00B34608" w:rsidRDefault="00D2569B" w:rsidP="00345038">
            <w:pPr>
              <w:tabs>
                <w:tab w:val="left" w:pos="0"/>
              </w:tabs>
              <w:jc w:val="center"/>
              <w:rPr>
                <w:b/>
                <w:szCs w:val="22"/>
              </w:rPr>
            </w:pPr>
          </w:p>
          <w:p w:rsidR="00D2569B" w:rsidRPr="00B34608" w:rsidRDefault="00D2569B" w:rsidP="00B26CD3">
            <w:pPr>
              <w:spacing w:line="360" w:lineRule="auto"/>
              <w:jc w:val="center"/>
              <w:rPr>
                <w:b/>
                <w:sz w:val="24"/>
                <w:szCs w:val="24"/>
              </w:rPr>
            </w:pPr>
            <w:r>
              <w:rPr>
                <w:b/>
                <w:sz w:val="24"/>
                <w:szCs w:val="24"/>
              </w:rPr>
              <w:t>DEPOSIT INSURANCE FUND</w:t>
            </w:r>
          </w:p>
          <w:p w:rsidR="00D2569B" w:rsidRPr="00B34608" w:rsidRDefault="00D2569B" w:rsidP="003A5F31">
            <w:pPr>
              <w:spacing w:line="276" w:lineRule="auto"/>
              <w:jc w:val="center"/>
              <w:rPr>
                <w:szCs w:val="22"/>
              </w:rPr>
            </w:pPr>
            <w:r w:rsidRPr="00B34608">
              <w:rPr>
                <w:szCs w:val="22"/>
              </w:rPr>
              <w:t>Administrator</w:t>
            </w:r>
            <w:r>
              <w:rPr>
                <w:szCs w:val="22"/>
              </w:rPr>
              <w:t xml:space="preserve"> </w:t>
            </w:r>
            <w:proofErr w:type="gramStart"/>
            <w:r>
              <w:rPr>
                <w:szCs w:val="22"/>
              </w:rPr>
              <w:t>–</w:t>
            </w:r>
            <w:r w:rsidRPr="00B34608">
              <w:rPr>
                <w:szCs w:val="22"/>
              </w:rPr>
              <w:t xml:space="preserve"> </w:t>
            </w:r>
            <w:r w:rsidRPr="004B39D2">
              <w:rPr>
                <w:bCs/>
                <w:szCs w:val="22"/>
              </w:rPr>
              <w:t xml:space="preserve"> SC</w:t>
            </w:r>
            <w:proofErr w:type="gramEnd"/>
            <w:r w:rsidRPr="004B39D2">
              <w:rPr>
                <w:bCs/>
                <w:szCs w:val="22"/>
              </w:rPr>
              <w:t xml:space="preserve"> </w:t>
            </w:r>
            <w:r w:rsidR="00131887" w:rsidRPr="00131887">
              <w:t>„</w:t>
            </w:r>
            <w:r w:rsidRPr="004B39D2">
              <w:rPr>
                <w:bCs/>
                <w:szCs w:val="22"/>
              </w:rPr>
              <w:t>Indėlių ir investicijų draudimas</w:t>
            </w:r>
            <w:r w:rsidR="00131887">
              <w:rPr>
                <w:bCs/>
                <w:szCs w:val="22"/>
              </w:rPr>
              <w:t>”</w:t>
            </w:r>
            <w:r>
              <w:rPr>
                <w:szCs w:val="22"/>
              </w:rPr>
              <w:t>, corporate code</w:t>
            </w:r>
            <w:r w:rsidRPr="00B34608">
              <w:rPr>
                <w:szCs w:val="22"/>
              </w:rPr>
              <w:t xml:space="preserve"> 110069451</w:t>
            </w:r>
          </w:p>
          <w:p w:rsidR="00D2569B" w:rsidRPr="00B34608" w:rsidRDefault="00D2569B" w:rsidP="003A5F31">
            <w:pPr>
              <w:spacing w:line="276" w:lineRule="auto"/>
              <w:jc w:val="center"/>
              <w:rPr>
                <w:szCs w:val="22"/>
              </w:rPr>
            </w:pPr>
            <w:proofErr w:type="spellStart"/>
            <w:r w:rsidRPr="00B34608">
              <w:rPr>
                <w:szCs w:val="22"/>
              </w:rPr>
              <w:t>Alg</w:t>
            </w:r>
            <w:r>
              <w:rPr>
                <w:szCs w:val="22"/>
              </w:rPr>
              <w:t>irdo</w:t>
            </w:r>
            <w:proofErr w:type="spellEnd"/>
            <w:r>
              <w:rPr>
                <w:szCs w:val="22"/>
              </w:rPr>
              <w:t xml:space="preserve"> g. 31, LT-03219 Vilnius, data collected and stored in the Register of Legal Entities</w:t>
            </w:r>
          </w:p>
          <w:p w:rsidR="00D2569B" w:rsidRPr="00B34608" w:rsidRDefault="00D2569B" w:rsidP="007D45AC">
            <w:pPr>
              <w:spacing w:line="276" w:lineRule="auto"/>
              <w:jc w:val="center"/>
              <w:rPr>
                <w:szCs w:val="22"/>
              </w:rPr>
            </w:pPr>
          </w:p>
          <w:p w:rsidR="00D2569B" w:rsidRPr="003A5F31" w:rsidRDefault="00D2569B" w:rsidP="007D45AC">
            <w:pPr>
              <w:spacing w:line="276" w:lineRule="auto"/>
              <w:jc w:val="center"/>
              <w:rPr>
                <w:b/>
                <w:szCs w:val="22"/>
              </w:rPr>
            </w:pPr>
            <w:r w:rsidRPr="003A5F31">
              <w:rPr>
                <w:b/>
                <w:szCs w:val="22"/>
              </w:rPr>
              <w:t>STATEMENT OF CHANGES IN NET ASSETS</w:t>
            </w:r>
          </w:p>
          <w:p w:rsidR="00D2569B" w:rsidRPr="00B34608" w:rsidRDefault="00D2569B" w:rsidP="007D45AC">
            <w:pPr>
              <w:spacing w:line="276" w:lineRule="auto"/>
              <w:jc w:val="center"/>
              <w:rPr>
                <w:b/>
                <w:szCs w:val="22"/>
              </w:rPr>
            </w:pPr>
            <w:r>
              <w:rPr>
                <w:b/>
                <w:szCs w:val="22"/>
              </w:rPr>
              <w:t xml:space="preserve">31 DECEMBER </w:t>
            </w:r>
            <w:r w:rsidRPr="00B34608">
              <w:rPr>
                <w:b/>
                <w:szCs w:val="22"/>
              </w:rPr>
              <w:t>2017</w:t>
            </w:r>
          </w:p>
          <w:p w:rsidR="00D2569B" w:rsidRPr="00B34608" w:rsidRDefault="00D2569B" w:rsidP="003A5F31">
            <w:pPr>
              <w:tabs>
                <w:tab w:val="left" w:pos="0"/>
              </w:tabs>
              <w:jc w:val="center"/>
              <w:rPr>
                <w:sz w:val="20"/>
              </w:rPr>
            </w:pPr>
          </w:p>
        </w:tc>
      </w:tr>
      <w:tr w:rsidR="00D2569B" w:rsidRPr="00B34608" w:rsidTr="00345038">
        <w:trPr>
          <w:gridAfter w:val="2"/>
          <w:wAfter w:w="169" w:type="dxa"/>
          <w:trHeight w:val="71"/>
        </w:trPr>
        <w:tc>
          <w:tcPr>
            <w:tcW w:w="9930" w:type="dxa"/>
            <w:gridSpan w:val="12"/>
            <w:tcBorders>
              <w:top w:val="nil"/>
              <w:left w:val="nil"/>
              <w:bottom w:val="nil"/>
              <w:right w:val="nil"/>
            </w:tcBorders>
            <w:shd w:val="clear" w:color="000000" w:fill="FFFFFF"/>
            <w:vAlign w:val="bottom"/>
          </w:tcPr>
          <w:p w:rsidR="00D2569B" w:rsidRPr="00B34608" w:rsidRDefault="00D2569B" w:rsidP="00345038">
            <w:pPr>
              <w:tabs>
                <w:tab w:val="left" w:pos="0"/>
              </w:tabs>
              <w:jc w:val="center"/>
              <w:rPr>
                <w:sz w:val="20"/>
              </w:rPr>
            </w:pPr>
            <w:r>
              <w:rPr>
                <w:sz w:val="20"/>
              </w:rPr>
              <w:t xml:space="preserve">29 January </w:t>
            </w:r>
            <w:r w:rsidRPr="00B34608">
              <w:rPr>
                <w:sz w:val="20"/>
              </w:rPr>
              <w:t>2018</w:t>
            </w:r>
          </w:p>
        </w:tc>
      </w:tr>
      <w:tr w:rsidR="00D2569B" w:rsidRPr="00B34608" w:rsidTr="00345038">
        <w:trPr>
          <w:gridAfter w:val="2"/>
          <w:wAfter w:w="169" w:type="dxa"/>
          <w:trHeight w:val="71"/>
        </w:trPr>
        <w:tc>
          <w:tcPr>
            <w:tcW w:w="3032" w:type="dxa"/>
            <w:gridSpan w:val="3"/>
            <w:tcBorders>
              <w:top w:val="nil"/>
              <w:left w:val="nil"/>
              <w:bottom w:val="nil"/>
              <w:right w:val="nil"/>
            </w:tcBorders>
            <w:shd w:val="clear" w:color="000000" w:fill="FFFFFF"/>
            <w:noWrap/>
            <w:vAlign w:val="bottom"/>
          </w:tcPr>
          <w:p w:rsidR="00D2569B" w:rsidRPr="00B34608" w:rsidRDefault="00D2569B" w:rsidP="00345038">
            <w:pPr>
              <w:tabs>
                <w:tab w:val="left" w:pos="0"/>
              </w:tabs>
              <w:jc w:val="center"/>
              <w:rPr>
                <w:i/>
                <w:sz w:val="20"/>
              </w:rPr>
            </w:pPr>
            <w:r w:rsidRPr="00B34608">
              <w:rPr>
                <w:i/>
                <w:sz w:val="20"/>
              </w:rPr>
              <w:t xml:space="preserve">2017 </w:t>
            </w:r>
          </w:p>
        </w:tc>
        <w:tc>
          <w:tcPr>
            <w:tcW w:w="2022" w:type="dxa"/>
            <w:gridSpan w:val="3"/>
            <w:tcBorders>
              <w:top w:val="nil"/>
              <w:left w:val="nil"/>
              <w:bottom w:val="nil"/>
              <w:right w:val="nil"/>
            </w:tcBorders>
            <w:shd w:val="clear" w:color="000000" w:fill="FFFFFF"/>
            <w:noWrap/>
            <w:vAlign w:val="bottom"/>
          </w:tcPr>
          <w:p w:rsidR="00D2569B" w:rsidRPr="00B34608" w:rsidRDefault="00D2569B" w:rsidP="00345038">
            <w:pPr>
              <w:tabs>
                <w:tab w:val="left" w:pos="0"/>
              </w:tabs>
              <w:jc w:val="center"/>
              <w:rPr>
                <w:sz w:val="20"/>
              </w:rPr>
            </w:pPr>
            <w:r w:rsidRPr="00B34608">
              <w:rPr>
                <w:sz w:val="20"/>
              </w:rPr>
              <w:t> </w:t>
            </w:r>
          </w:p>
        </w:tc>
        <w:tc>
          <w:tcPr>
            <w:tcW w:w="4876" w:type="dxa"/>
            <w:gridSpan w:val="6"/>
            <w:tcBorders>
              <w:top w:val="nil"/>
              <w:left w:val="nil"/>
              <w:bottom w:val="single" w:sz="4" w:space="0" w:color="auto"/>
              <w:right w:val="nil"/>
            </w:tcBorders>
            <w:shd w:val="clear" w:color="000000" w:fill="FFFFFF"/>
            <w:noWrap/>
            <w:vAlign w:val="bottom"/>
          </w:tcPr>
          <w:p w:rsidR="00D2569B" w:rsidRPr="00B34608" w:rsidRDefault="00D2569B" w:rsidP="007D45AC">
            <w:pPr>
              <w:tabs>
                <w:tab w:val="left" w:pos="535"/>
              </w:tabs>
              <w:ind w:left="-5162" w:firstLine="142"/>
              <w:jc w:val="right"/>
              <w:rPr>
                <w:i/>
                <w:iCs/>
                <w:sz w:val="20"/>
              </w:rPr>
            </w:pPr>
            <w:r w:rsidRPr="00B34608">
              <w:rPr>
                <w:i/>
                <w:iCs/>
                <w:sz w:val="20"/>
              </w:rPr>
              <w:t xml:space="preserve">                   </w:t>
            </w:r>
            <w:r>
              <w:rPr>
                <w:i/>
                <w:iCs/>
                <w:sz w:val="20"/>
              </w:rPr>
              <w:t xml:space="preserve">  Presentation currency and accuracy: EUR</w:t>
            </w:r>
          </w:p>
        </w:tc>
      </w:tr>
      <w:tr w:rsidR="00D2569B" w:rsidRPr="00B34608" w:rsidTr="003C57AF">
        <w:trPr>
          <w:trHeight w:val="75"/>
        </w:trPr>
        <w:tc>
          <w:tcPr>
            <w:tcW w:w="534" w:type="dxa"/>
            <w:vMerge w:val="restart"/>
            <w:tcBorders>
              <w:top w:val="single" w:sz="4" w:space="0" w:color="auto"/>
              <w:left w:val="single" w:sz="4" w:space="0" w:color="auto"/>
              <w:bottom w:val="single" w:sz="4" w:space="0" w:color="000000"/>
              <w:right w:val="single" w:sz="4" w:space="0" w:color="auto"/>
            </w:tcBorders>
            <w:vAlign w:val="center"/>
          </w:tcPr>
          <w:p w:rsidR="00D2569B" w:rsidRPr="00B34608" w:rsidRDefault="00D2569B" w:rsidP="00345038">
            <w:pPr>
              <w:tabs>
                <w:tab w:val="left" w:pos="0"/>
              </w:tabs>
              <w:jc w:val="center"/>
              <w:rPr>
                <w:b/>
                <w:bCs/>
                <w:sz w:val="16"/>
                <w:szCs w:val="16"/>
              </w:rPr>
            </w:pPr>
            <w:r>
              <w:rPr>
                <w:b/>
                <w:bCs/>
                <w:sz w:val="16"/>
                <w:szCs w:val="16"/>
              </w:rPr>
              <w:t>Seq. No</w:t>
            </w:r>
          </w:p>
        </w:tc>
        <w:tc>
          <w:tcPr>
            <w:tcW w:w="2302" w:type="dxa"/>
            <w:vMerge w:val="restart"/>
            <w:tcBorders>
              <w:top w:val="single" w:sz="4" w:space="0" w:color="auto"/>
              <w:left w:val="single" w:sz="4" w:space="0" w:color="auto"/>
              <w:bottom w:val="single" w:sz="4" w:space="0" w:color="auto"/>
              <w:right w:val="single" w:sz="4" w:space="0" w:color="auto"/>
            </w:tcBorders>
            <w:vAlign w:val="center"/>
          </w:tcPr>
          <w:p w:rsidR="00D2569B" w:rsidRPr="00B34608" w:rsidRDefault="00D2569B" w:rsidP="00345038">
            <w:pPr>
              <w:tabs>
                <w:tab w:val="left" w:pos="0"/>
              </w:tabs>
              <w:jc w:val="center"/>
              <w:rPr>
                <w:b/>
                <w:bCs/>
                <w:sz w:val="16"/>
                <w:szCs w:val="16"/>
              </w:rPr>
            </w:pPr>
            <w:r>
              <w:rPr>
                <w:b/>
                <w:bCs/>
                <w:sz w:val="16"/>
                <w:szCs w:val="16"/>
              </w:rPr>
              <w:t>Items</w:t>
            </w:r>
          </w:p>
        </w:tc>
        <w:tc>
          <w:tcPr>
            <w:tcW w:w="674" w:type="dxa"/>
            <w:gridSpan w:val="2"/>
            <w:vMerge w:val="restart"/>
            <w:tcBorders>
              <w:top w:val="single" w:sz="4" w:space="0" w:color="auto"/>
              <w:left w:val="single" w:sz="4" w:space="0" w:color="auto"/>
              <w:bottom w:val="single" w:sz="4" w:space="0" w:color="auto"/>
              <w:right w:val="single" w:sz="4" w:space="0" w:color="auto"/>
            </w:tcBorders>
            <w:vAlign w:val="center"/>
          </w:tcPr>
          <w:p w:rsidR="00D2569B" w:rsidRPr="00B34608" w:rsidRDefault="00D2569B" w:rsidP="00345038">
            <w:pPr>
              <w:tabs>
                <w:tab w:val="left" w:pos="0"/>
              </w:tabs>
              <w:jc w:val="center"/>
              <w:rPr>
                <w:b/>
                <w:bCs/>
                <w:sz w:val="16"/>
                <w:szCs w:val="16"/>
              </w:rPr>
            </w:pPr>
            <w:r>
              <w:rPr>
                <w:b/>
                <w:bCs/>
                <w:sz w:val="16"/>
                <w:szCs w:val="16"/>
              </w:rPr>
              <w:t>Note No</w:t>
            </w:r>
          </w:p>
        </w:tc>
        <w:tc>
          <w:tcPr>
            <w:tcW w:w="4747" w:type="dxa"/>
            <w:gridSpan w:val="6"/>
            <w:tcBorders>
              <w:top w:val="single" w:sz="4" w:space="0" w:color="auto"/>
              <w:left w:val="nil"/>
              <w:bottom w:val="single" w:sz="4" w:space="0" w:color="auto"/>
              <w:right w:val="single" w:sz="4" w:space="0" w:color="auto"/>
            </w:tcBorders>
            <w:vAlign w:val="center"/>
          </w:tcPr>
          <w:p w:rsidR="00D2569B" w:rsidRPr="00B34608" w:rsidRDefault="00D2569B" w:rsidP="00345038">
            <w:pPr>
              <w:tabs>
                <w:tab w:val="left" w:pos="0"/>
              </w:tabs>
              <w:jc w:val="center"/>
              <w:rPr>
                <w:b/>
                <w:bCs/>
                <w:sz w:val="16"/>
                <w:szCs w:val="16"/>
              </w:rPr>
            </w:pPr>
            <w:r>
              <w:rPr>
                <w:b/>
                <w:bCs/>
                <w:sz w:val="16"/>
                <w:szCs w:val="16"/>
              </w:rPr>
              <w:t>Attributable to the controlling entity</w:t>
            </w:r>
          </w:p>
        </w:tc>
        <w:tc>
          <w:tcPr>
            <w:tcW w:w="1134" w:type="dxa"/>
            <w:vMerge w:val="restart"/>
            <w:tcBorders>
              <w:top w:val="single" w:sz="4" w:space="0" w:color="auto"/>
              <w:left w:val="single" w:sz="4" w:space="0" w:color="auto"/>
              <w:right w:val="single" w:sz="4" w:space="0" w:color="auto"/>
            </w:tcBorders>
            <w:noWrap/>
            <w:vAlign w:val="center"/>
          </w:tcPr>
          <w:p w:rsidR="00D2569B" w:rsidRPr="00B34608" w:rsidRDefault="00D2569B" w:rsidP="00345038">
            <w:pPr>
              <w:tabs>
                <w:tab w:val="left" w:pos="-108"/>
              </w:tabs>
              <w:ind w:left="-108" w:right="-108"/>
              <w:jc w:val="center"/>
              <w:rPr>
                <w:b/>
                <w:bCs/>
                <w:sz w:val="16"/>
                <w:szCs w:val="16"/>
              </w:rPr>
            </w:pPr>
            <w:r>
              <w:rPr>
                <w:b/>
                <w:bCs/>
                <w:sz w:val="16"/>
                <w:szCs w:val="16"/>
              </w:rPr>
              <w:t>Total</w:t>
            </w:r>
          </w:p>
        </w:tc>
        <w:tc>
          <w:tcPr>
            <w:tcW w:w="708" w:type="dxa"/>
            <w:gridSpan w:val="3"/>
            <w:vMerge w:val="restart"/>
            <w:tcBorders>
              <w:top w:val="single" w:sz="4" w:space="0" w:color="auto"/>
              <w:left w:val="single" w:sz="4" w:space="0" w:color="auto"/>
              <w:right w:val="single" w:sz="4" w:space="0" w:color="auto"/>
            </w:tcBorders>
            <w:vAlign w:val="center"/>
          </w:tcPr>
          <w:p w:rsidR="00D2569B" w:rsidRPr="00B34608" w:rsidRDefault="00D2569B" w:rsidP="00345038">
            <w:pPr>
              <w:tabs>
                <w:tab w:val="left" w:pos="-675"/>
              </w:tabs>
              <w:ind w:left="-108" w:right="-108"/>
              <w:jc w:val="center"/>
              <w:rPr>
                <w:b/>
                <w:bCs/>
                <w:sz w:val="16"/>
                <w:szCs w:val="16"/>
              </w:rPr>
            </w:pPr>
            <w:r w:rsidRPr="00B34608">
              <w:rPr>
                <w:b/>
                <w:bCs/>
                <w:sz w:val="16"/>
                <w:szCs w:val="16"/>
              </w:rPr>
              <w:t>M</w:t>
            </w:r>
            <w:r>
              <w:rPr>
                <w:b/>
                <w:bCs/>
                <w:sz w:val="16"/>
                <w:szCs w:val="16"/>
              </w:rPr>
              <w:t>inority interest</w:t>
            </w:r>
          </w:p>
        </w:tc>
      </w:tr>
      <w:tr w:rsidR="00D2569B" w:rsidRPr="00B34608" w:rsidTr="003C57AF">
        <w:trPr>
          <w:trHeight w:val="516"/>
        </w:trPr>
        <w:tc>
          <w:tcPr>
            <w:tcW w:w="534" w:type="dxa"/>
            <w:vMerge/>
            <w:tcBorders>
              <w:top w:val="single" w:sz="4" w:space="0" w:color="auto"/>
              <w:left w:val="single" w:sz="4" w:space="0" w:color="auto"/>
              <w:bottom w:val="single" w:sz="4" w:space="0" w:color="000000"/>
              <w:right w:val="single" w:sz="4" w:space="0" w:color="auto"/>
            </w:tcBorders>
            <w:vAlign w:val="center"/>
          </w:tcPr>
          <w:p w:rsidR="00D2569B" w:rsidRPr="00B34608" w:rsidRDefault="00D2569B" w:rsidP="00F56A42">
            <w:pPr>
              <w:tabs>
                <w:tab w:val="left" w:pos="0"/>
              </w:tabs>
              <w:rPr>
                <w:b/>
                <w:bCs/>
                <w:sz w:val="16"/>
                <w:szCs w:val="16"/>
              </w:rPr>
            </w:pPr>
          </w:p>
        </w:tc>
        <w:tc>
          <w:tcPr>
            <w:tcW w:w="2302" w:type="dxa"/>
            <w:vMerge/>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56A42">
            <w:pPr>
              <w:tabs>
                <w:tab w:val="left" w:pos="0"/>
              </w:tabs>
              <w:rPr>
                <w:b/>
                <w:bCs/>
                <w:sz w:val="16"/>
                <w:szCs w:val="16"/>
              </w:rPr>
            </w:pPr>
          </w:p>
        </w:tc>
        <w:tc>
          <w:tcPr>
            <w:tcW w:w="674" w:type="dxa"/>
            <w:gridSpan w:val="2"/>
            <w:vMerge/>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56A42">
            <w:pPr>
              <w:tabs>
                <w:tab w:val="left" w:pos="0"/>
              </w:tabs>
              <w:rPr>
                <w:b/>
                <w:bCs/>
                <w:sz w:val="16"/>
                <w:szCs w:val="16"/>
              </w:rPr>
            </w:pPr>
          </w:p>
        </w:tc>
        <w:tc>
          <w:tcPr>
            <w:tcW w:w="1168" w:type="dxa"/>
            <w:tcBorders>
              <w:top w:val="nil"/>
              <w:left w:val="nil"/>
              <w:bottom w:val="single" w:sz="4" w:space="0" w:color="auto"/>
              <w:right w:val="single" w:sz="4" w:space="0" w:color="auto"/>
            </w:tcBorders>
            <w:vAlign w:val="center"/>
          </w:tcPr>
          <w:p w:rsidR="00D2569B" w:rsidRPr="00B34608" w:rsidRDefault="00D2569B" w:rsidP="00F56A42">
            <w:pPr>
              <w:tabs>
                <w:tab w:val="left" w:pos="0"/>
              </w:tabs>
              <w:jc w:val="center"/>
              <w:rPr>
                <w:b/>
                <w:bCs/>
                <w:sz w:val="16"/>
                <w:szCs w:val="16"/>
              </w:rPr>
            </w:pPr>
            <w:r>
              <w:rPr>
                <w:b/>
                <w:bCs/>
                <w:sz w:val="16"/>
                <w:szCs w:val="16"/>
              </w:rPr>
              <w:t xml:space="preserve">Stakeholders’ equity </w:t>
            </w:r>
          </w:p>
        </w:tc>
        <w:tc>
          <w:tcPr>
            <w:tcW w:w="851" w:type="dxa"/>
            <w:gridSpan w:val="2"/>
            <w:tcBorders>
              <w:top w:val="nil"/>
              <w:left w:val="nil"/>
              <w:bottom w:val="single" w:sz="4" w:space="0" w:color="auto"/>
              <w:right w:val="single" w:sz="4" w:space="0" w:color="auto"/>
            </w:tcBorders>
            <w:vAlign w:val="center"/>
          </w:tcPr>
          <w:p w:rsidR="00D2569B" w:rsidRPr="00B34608" w:rsidRDefault="00D2569B" w:rsidP="00F56A42">
            <w:pPr>
              <w:tabs>
                <w:tab w:val="left" w:pos="-108"/>
              </w:tabs>
              <w:ind w:left="-108" w:right="-108"/>
              <w:jc w:val="center"/>
              <w:rPr>
                <w:b/>
                <w:bCs/>
                <w:sz w:val="16"/>
                <w:szCs w:val="16"/>
              </w:rPr>
            </w:pPr>
            <w:r>
              <w:rPr>
                <w:b/>
                <w:bCs/>
                <w:sz w:val="16"/>
                <w:szCs w:val="16"/>
              </w:rPr>
              <w:t>Fair value reserve</w:t>
            </w:r>
          </w:p>
        </w:tc>
        <w:tc>
          <w:tcPr>
            <w:tcW w:w="709" w:type="dxa"/>
            <w:tcBorders>
              <w:top w:val="nil"/>
              <w:left w:val="nil"/>
              <w:bottom w:val="single" w:sz="4" w:space="0" w:color="auto"/>
              <w:right w:val="single" w:sz="4" w:space="0" w:color="auto"/>
            </w:tcBorders>
            <w:vAlign w:val="center"/>
          </w:tcPr>
          <w:p w:rsidR="00D2569B" w:rsidRPr="00B34608" w:rsidRDefault="00D2569B" w:rsidP="00F56A42">
            <w:pPr>
              <w:tabs>
                <w:tab w:val="left" w:pos="-108"/>
              </w:tabs>
              <w:ind w:left="-108" w:right="-108"/>
              <w:jc w:val="center"/>
              <w:rPr>
                <w:b/>
                <w:bCs/>
                <w:sz w:val="16"/>
                <w:szCs w:val="16"/>
              </w:rPr>
            </w:pPr>
            <w:r>
              <w:rPr>
                <w:b/>
                <w:bCs/>
                <w:sz w:val="16"/>
                <w:szCs w:val="16"/>
              </w:rPr>
              <w:t>Other reserves</w:t>
            </w:r>
          </w:p>
        </w:tc>
        <w:tc>
          <w:tcPr>
            <w:tcW w:w="708" w:type="dxa"/>
            <w:tcBorders>
              <w:top w:val="nil"/>
              <w:left w:val="nil"/>
              <w:bottom w:val="single" w:sz="4" w:space="0" w:color="auto"/>
              <w:right w:val="single" w:sz="4" w:space="0" w:color="auto"/>
            </w:tcBorders>
            <w:vAlign w:val="center"/>
          </w:tcPr>
          <w:p w:rsidR="00D2569B" w:rsidRPr="00B34608" w:rsidRDefault="00D2569B" w:rsidP="00F56A42">
            <w:pPr>
              <w:tabs>
                <w:tab w:val="left" w:pos="-108"/>
              </w:tabs>
              <w:ind w:left="-108" w:right="-108"/>
              <w:jc w:val="center"/>
              <w:rPr>
                <w:b/>
                <w:bCs/>
                <w:sz w:val="16"/>
                <w:szCs w:val="16"/>
              </w:rPr>
            </w:pPr>
            <w:r>
              <w:rPr>
                <w:b/>
                <w:bCs/>
                <w:sz w:val="16"/>
                <w:szCs w:val="16"/>
              </w:rPr>
              <w:t>Effects of application of the equity method</w:t>
            </w:r>
          </w:p>
        </w:tc>
        <w:tc>
          <w:tcPr>
            <w:tcW w:w="1311" w:type="dxa"/>
            <w:tcBorders>
              <w:top w:val="nil"/>
              <w:left w:val="nil"/>
              <w:bottom w:val="single" w:sz="4" w:space="0" w:color="auto"/>
              <w:right w:val="single" w:sz="4" w:space="0" w:color="auto"/>
            </w:tcBorders>
            <w:vAlign w:val="center"/>
          </w:tcPr>
          <w:p w:rsidR="00D2569B" w:rsidRPr="00B34608" w:rsidRDefault="00D2569B" w:rsidP="00F56A42">
            <w:pPr>
              <w:tabs>
                <w:tab w:val="left" w:pos="-108"/>
              </w:tabs>
              <w:ind w:left="-108" w:right="-108"/>
              <w:jc w:val="center"/>
              <w:rPr>
                <w:b/>
                <w:bCs/>
                <w:sz w:val="16"/>
                <w:szCs w:val="16"/>
              </w:rPr>
            </w:pPr>
            <w:r>
              <w:rPr>
                <w:b/>
                <w:bCs/>
                <w:sz w:val="16"/>
                <w:szCs w:val="16"/>
              </w:rPr>
              <w:t>Accrued surplus or deficit before effects of application of the equity method</w:t>
            </w:r>
          </w:p>
        </w:tc>
        <w:tc>
          <w:tcPr>
            <w:tcW w:w="1134" w:type="dxa"/>
            <w:vMerge/>
            <w:tcBorders>
              <w:left w:val="single" w:sz="4" w:space="0" w:color="auto"/>
              <w:bottom w:val="single" w:sz="4" w:space="0" w:color="000000"/>
              <w:right w:val="single" w:sz="4" w:space="0" w:color="auto"/>
            </w:tcBorders>
            <w:vAlign w:val="center"/>
          </w:tcPr>
          <w:p w:rsidR="00D2569B" w:rsidRPr="00B34608" w:rsidRDefault="00D2569B" w:rsidP="00F56A42">
            <w:pPr>
              <w:tabs>
                <w:tab w:val="left" w:pos="0"/>
              </w:tabs>
              <w:rPr>
                <w:b/>
                <w:bCs/>
                <w:sz w:val="16"/>
                <w:szCs w:val="16"/>
              </w:rPr>
            </w:pPr>
          </w:p>
        </w:tc>
        <w:tc>
          <w:tcPr>
            <w:tcW w:w="708" w:type="dxa"/>
            <w:gridSpan w:val="3"/>
            <w:vMerge/>
            <w:tcBorders>
              <w:left w:val="single" w:sz="4" w:space="0" w:color="auto"/>
              <w:bottom w:val="single" w:sz="4" w:space="0" w:color="auto"/>
              <w:right w:val="single" w:sz="4" w:space="0" w:color="auto"/>
            </w:tcBorders>
            <w:vAlign w:val="center"/>
          </w:tcPr>
          <w:p w:rsidR="00D2569B" w:rsidRPr="00B34608" w:rsidRDefault="00D2569B" w:rsidP="00F56A42">
            <w:pPr>
              <w:tabs>
                <w:tab w:val="left" w:pos="0"/>
              </w:tabs>
              <w:rPr>
                <w:b/>
                <w:bCs/>
                <w:sz w:val="16"/>
                <w:szCs w:val="16"/>
              </w:rPr>
            </w:pPr>
          </w:p>
        </w:tc>
      </w:tr>
      <w:tr w:rsidR="00D2569B" w:rsidRPr="00B34608" w:rsidTr="00F56A42">
        <w:trPr>
          <w:trHeight w:val="71"/>
        </w:trPr>
        <w:tc>
          <w:tcPr>
            <w:tcW w:w="534" w:type="dxa"/>
            <w:tcBorders>
              <w:top w:val="nil"/>
              <w:left w:val="single" w:sz="4" w:space="0" w:color="auto"/>
              <w:bottom w:val="single" w:sz="4" w:space="0" w:color="auto"/>
              <w:right w:val="single" w:sz="4" w:space="0" w:color="auto"/>
            </w:tcBorders>
            <w:vAlign w:val="bottom"/>
          </w:tcPr>
          <w:p w:rsidR="00D2569B" w:rsidRPr="00B34608" w:rsidRDefault="00D2569B" w:rsidP="00345038">
            <w:pPr>
              <w:tabs>
                <w:tab w:val="left" w:pos="0"/>
              </w:tabs>
              <w:jc w:val="center"/>
              <w:rPr>
                <w:sz w:val="16"/>
                <w:szCs w:val="16"/>
              </w:rPr>
            </w:pPr>
            <w:r w:rsidRPr="00B34608">
              <w:rPr>
                <w:sz w:val="16"/>
                <w:szCs w:val="16"/>
              </w:rPr>
              <w:t>1</w:t>
            </w:r>
          </w:p>
        </w:tc>
        <w:tc>
          <w:tcPr>
            <w:tcW w:w="2302" w:type="dxa"/>
            <w:tcBorders>
              <w:top w:val="nil"/>
              <w:left w:val="nil"/>
              <w:bottom w:val="single" w:sz="4" w:space="0" w:color="auto"/>
              <w:right w:val="single" w:sz="4" w:space="0" w:color="auto"/>
            </w:tcBorders>
          </w:tcPr>
          <w:p w:rsidR="00D2569B" w:rsidRPr="00B34608" w:rsidRDefault="00D2569B" w:rsidP="00345038">
            <w:pPr>
              <w:tabs>
                <w:tab w:val="left" w:pos="0"/>
              </w:tabs>
              <w:jc w:val="center"/>
              <w:rPr>
                <w:sz w:val="16"/>
                <w:szCs w:val="16"/>
              </w:rPr>
            </w:pPr>
            <w:r w:rsidRPr="00B34608">
              <w:rPr>
                <w:sz w:val="16"/>
                <w:szCs w:val="16"/>
              </w:rPr>
              <w:t>2</w:t>
            </w:r>
          </w:p>
        </w:tc>
        <w:tc>
          <w:tcPr>
            <w:tcW w:w="674" w:type="dxa"/>
            <w:gridSpan w:val="2"/>
            <w:tcBorders>
              <w:top w:val="nil"/>
              <w:left w:val="nil"/>
              <w:bottom w:val="single" w:sz="4" w:space="0" w:color="auto"/>
              <w:right w:val="single" w:sz="4" w:space="0" w:color="auto"/>
            </w:tcBorders>
          </w:tcPr>
          <w:p w:rsidR="00D2569B" w:rsidRPr="00B34608" w:rsidRDefault="00D2569B" w:rsidP="00345038">
            <w:pPr>
              <w:tabs>
                <w:tab w:val="left" w:pos="0"/>
              </w:tabs>
              <w:jc w:val="center"/>
              <w:rPr>
                <w:sz w:val="16"/>
                <w:szCs w:val="16"/>
              </w:rPr>
            </w:pPr>
            <w:r w:rsidRPr="00B34608">
              <w:rPr>
                <w:sz w:val="16"/>
                <w:szCs w:val="16"/>
              </w:rPr>
              <w:t>3</w:t>
            </w:r>
          </w:p>
        </w:tc>
        <w:tc>
          <w:tcPr>
            <w:tcW w:w="1168" w:type="dxa"/>
            <w:tcBorders>
              <w:top w:val="nil"/>
              <w:left w:val="nil"/>
              <w:bottom w:val="single" w:sz="4" w:space="0" w:color="auto"/>
              <w:right w:val="single" w:sz="4" w:space="0" w:color="auto"/>
            </w:tcBorders>
            <w:vAlign w:val="bottom"/>
          </w:tcPr>
          <w:p w:rsidR="00D2569B" w:rsidRPr="00B34608" w:rsidRDefault="00D2569B" w:rsidP="00345038">
            <w:pPr>
              <w:tabs>
                <w:tab w:val="left" w:pos="0"/>
              </w:tabs>
              <w:jc w:val="center"/>
              <w:rPr>
                <w:sz w:val="16"/>
                <w:szCs w:val="16"/>
              </w:rPr>
            </w:pPr>
            <w:r w:rsidRPr="00B34608">
              <w:rPr>
                <w:sz w:val="16"/>
                <w:szCs w:val="16"/>
              </w:rPr>
              <w:t>4</w:t>
            </w:r>
          </w:p>
        </w:tc>
        <w:tc>
          <w:tcPr>
            <w:tcW w:w="851" w:type="dxa"/>
            <w:gridSpan w:val="2"/>
            <w:tcBorders>
              <w:top w:val="nil"/>
              <w:left w:val="nil"/>
              <w:bottom w:val="single" w:sz="4" w:space="0" w:color="auto"/>
              <w:right w:val="single" w:sz="4" w:space="0" w:color="auto"/>
            </w:tcBorders>
          </w:tcPr>
          <w:p w:rsidR="00D2569B" w:rsidRPr="00B34608" w:rsidRDefault="00D2569B" w:rsidP="00345038">
            <w:pPr>
              <w:tabs>
                <w:tab w:val="left" w:pos="0"/>
              </w:tabs>
              <w:jc w:val="center"/>
              <w:rPr>
                <w:sz w:val="16"/>
                <w:szCs w:val="16"/>
              </w:rPr>
            </w:pPr>
            <w:r w:rsidRPr="00B34608">
              <w:rPr>
                <w:sz w:val="16"/>
                <w:szCs w:val="16"/>
              </w:rPr>
              <w:t>5</w:t>
            </w:r>
          </w:p>
        </w:tc>
        <w:tc>
          <w:tcPr>
            <w:tcW w:w="709" w:type="dxa"/>
            <w:tcBorders>
              <w:top w:val="nil"/>
              <w:left w:val="nil"/>
              <w:bottom w:val="single" w:sz="4" w:space="0" w:color="auto"/>
              <w:right w:val="single" w:sz="4" w:space="0" w:color="auto"/>
            </w:tcBorders>
            <w:vAlign w:val="bottom"/>
          </w:tcPr>
          <w:p w:rsidR="00D2569B" w:rsidRPr="00B34608" w:rsidRDefault="00D2569B" w:rsidP="00345038">
            <w:pPr>
              <w:tabs>
                <w:tab w:val="left" w:pos="0"/>
              </w:tabs>
              <w:jc w:val="center"/>
              <w:rPr>
                <w:sz w:val="16"/>
                <w:szCs w:val="16"/>
              </w:rPr>
            </w:pPr>
            <w:r w:rsidRPr="00B34608">
              <w:rPr>
                <w:sz w:val="16"/>
                <w:szCs w:val="16"/>
              </w:rPr>
              <w:t>6</w:t>
            </w:r>
          </w:p>
        </w:tc>
        <w:tc>
          <w:tcPr>
            <w:tcW w:w="708" w:type="dxa"/>
            <w:tcBorders>
              <w:top w:val="nil"/>
              <w:left w:val="nil"/>
              <w:bottom w:val="single" w:sz="4" w:space="0" w:color="auto"/>
              <w:right w:val="single" w:sz="4" w:space="0" w:color="auto"/>
            </w:tcBorders>
          </w:tcPr>
          <w:p w:rsidR="00D2569B" w:rsidRPr="00B34608" w:rsidRDefault="00D2569B" w:rsidP="00345038">
            <w:pPr>
              <w:tabs>
                <w:tab w:val="left" w:pos="0"/>
              </w:tabs>
              <w:jc w:val="center"/>
              <w:rPr>
                <w:sz w:val="16"/>
                <w:szCs w:val="16"/>
              </w:rPr>
            </w:pPr>
            <w:r w:rsidRPr="00B34608">
              <w:rPr>
                <w:sz w:val="16"/>
                <w:szCs w:val="16"/>
              </w:rPr>
              <w:t>7</w:t>
            </w:r>
          </w:p>
        </w:tc>
        <w:tc>
          <w:tcPr>
            <w:tcW w:w="1311" w:type="dxa"/>
            <w:tcBorders>
              <w:top w:val="nil"/>
              <w:left w:val="nil"/>
              <w:bottom w:val="single" w:sz="4" w:space="0" w:color="auto"/>
              <w:right w:val="single" w:sz="4" w:space="0" w:color="auto"/>
            </w:tcBorders>
            <w:vAlign w:val="bottom"/>
          </w:tcPr>
          <w:p w:rsidR="00D2569B" w:rsidRPr="00B34608" w:rsidRDefault="00D2569B" w:rsidP="00345038">
            <w:pPr>
              <w:tabs>
                <w:tab w:val="left" w:pos="0"/>
              </w:tabs>
              <w:jc w:val="center"/>
              <w:rPr>
                <w:sz w:val="16"/>
                <w:szCs w:val="16"/>
              </w:rPr>
            </w:pPr>
            <w:r w:rsidRPr="00B34608">
              <w:rPr>
                <w:sz w:val="16"/>
                <w:szCs w:val="16"/>
              </w:rPr>
              <w:t>8</w:t>
            </w:r>
          </w:p>
        </w:tc>
        <w:tc>
          <w:tcPr>
            <w:tcW w:w="1134" w:type="dxa"/>
            <w:tcBorders>
              <w:top w:val="nil"/>
              <w:left w:val="nil"/>
              <w:bottom w:val="single" w:sz="4" w:space="0" w:color="auto"/>
              <w:right w:val="single" w:sz="4" w:space="0" w:color="auto"/>
            </w:tcBorders>
            <w:noWrap/>
            <w:vAlign w:val="bottom"/>
          </w:tcPr>
          <w:p w:rsidR="00D2569B" w:rsidRPr="00B34608" w:rsidRDefault="00D2569B" w:rsidP="00345038">
            <w:pPr>
              <w:tabs>
                <w:tab w:val="left" w:pos="0"/>
              </w:tabs>
              <w:jc w:val="center"/>
              <w:rPr>
                <w:sz w:val="16"/>
                <w:szCs w:val="16"/>
              </w:rPr>
            </w:pPr>
            <w:r w:rsidRPr="00B34608">
              <w:rPr>
                <w:sz w:val="16"/>
                <w:szCs w:val="16"/>
              </w:rPr>
              <w:t>9</w:t>
            </w:r>
          </w:p>
        </w:tc>
        <w:tc>
          <w:tcPr>
            <w:tcW w:w="708" w:type="dxa"/>
            <w:gridSpan w:val="3"/>
            <w:tcBorders>
              <w:top w:val="nil"/>
              <w:left w:val="nil"/>
              <w:bottom w:val="single" w:sz="4" w:space="0" w:color="auto"/>
              <w:right w:val="single" w:sz="4" w:space="0" w:color="auto"/>
            </w:tcBorders>
            <w:noWrap/>
          </w:tcPr>
          <w:p w:rsidR="00D2569B" w:rsidRPr="00B34608" w:rsidRDefault="00D2569B" w:rsidP="00345038">
            <w:pPr>
              <w:tabs>
                <w:tab w:val="left" w:pos="0"/>
              </w:tabs>
              <w:jc w:val="center"/>
              <w:rPr>
                <w:sz w:val="16"/>
                <w:szCs w:val="16"/>
              </w:rPr>
            </w:pPr>
            <w:r w:rsidRPr="00B34608">
              <w:rPr>
                <w:sz w:val="16"/>
                <w:szCs w:val="16"/>
              </w:rPr>
              <w:t>10</w:t>
            </w:r>
          </w:p>
        </w:tc>
      </w:tr>
      <w:tr w:rsidR="00D2569B" w:rsidRPr="00B34608" w:rsidTr="00F56A42">
        <w:trPr>
          <w:trHeight w:val="88"/>
        </w:trPr>
        <w:tc>
          <w:tcPr>
            <w:tcW w:w="534" w:type="dxa"/>
            <w:tcBorders>
              <w:top w:val="nil"/>
              <w:left w:val="single" w:sz="4" w:space="0" w:color="auto"/>
              <w:bottom w:val="single" w:sz="4" w:space="0" w:color="auto"/>
              <w:right w:val="single" w:sz="4" w:space="0" w:color="auto"/>
            </w:tcBorders>
            <w:vAlign w:val="center"/>
          </w:tcPr>
          <w:p w:rsidR="00D2569B" w:rsidRPr="00B34608" w:rsidRDefault="00D2569B" w:rsidP="00345038">
            <w:pPr>
              <w:tabs>
                <w:tab w:val="left" w:pos="0"/>
              </w:tabs>
              <w:jc w:val="center"/>
              <w:rPr>
                <w:b/>
                <w:bCs/>
                <w:sz w:val="16"/>
                <w:szCs w:val="16"/>
              </w:rPr>
            </w:pPr>
            <w:r w:rsidRPr="00B34608">
              <w:rPr>
                <w:b/>
                <w:bCs/>
                <w:sz w:val="16"/>
                <w:szCs w:val="16"/>
              </w:rPr>
              <w:t>1.</w:t>
            </w:r>
          </w:p>
        </w:tc>
        <w:tc>
          <w:tcPr>
            <w:tcW w:w="2302" w:type="dxa"/>
            <w:tcBorders>
              <w:top w:val="nil"/>
              <w:left w:val="nil"/>
              <w:bottom w:val="single" w:sz="4" w:space="0" w:color="auto"/>
              <w:right w:val="single" w:sz="4" w:space="0" w:color="auto"/>
            </w:tcBorders>
          </w:tcPr>
          <w:p w:rsidR="00D2569B" w:rsidRPr="00B34608" w:rsidRDefault="00D2569B" w:rsidP="00345038">
            <w:pPr>
              <w:tabs>
                <w:tab w:val="left" w:pos="0"/>
              </w:tabs>
              <w:rPr>
                <w:b/>
                <w:bCs/>
                <w:sz w:val="16"/>
                <w:szCs w:val="16"/>
              </w:rPr>
            </w:pPr>
            <w:r>
              <w:rPr>
                <w:b/>
                <w:bCs/>
                <w:sz w:val="16"/>
                <w:szCs w:val="16"/>
              </w:rPr>
              <w:t>Balance as at 31 December</w:t>
            </w:r>
            <w:r w:rsidRPr="00B34608">
              <w:rPr>
                <w:b/>
                <w:bCs/>
                <w:sz w:val="16"/>
                <w:szCs w:val="16"/>
              </w:rPr>
              <w:t xml:space="preserve"> 2015 </w:t>
            </w:r>
          </w:p>
        </w:tc>
        <w:tc>
          <w:tcPr>
            <w:tcW w:w="674" w:type="dxa"/>
            <w:gridSpan w:val="2"/>
            <w:tcBorders>
              <w:top w:val="nil"/>
              <w:left w:val="nil"/>
              <w:bottom w:val="single" w:sz="4" w:space="0" w:color="auto"/>
              <w:right w:val="single" w:sz="4" w:space="0" w:color="auto"/>
            </w:tcBorders>
          </w:tcPr>
          <w:p w:rsidR="00D2569B" w:rsidRPr="00B34608" w:rsidRDefault="00D2569B" w:rsidP="00345038">
            <w:pPr>
              <w:tabs>
                <w:tab w:val="left" w:pos="0"/>
              </w:tabs>
              <w:rPr>
                <w:b/>
                <w:bCs/>
                <w:sz w:val="16"/>
                <w:szCs w:val="16"/>
              </w:rPr>
            </w:pPr>
            <w:r w:rsidRPr="00B34608">
              <w:rPr>
                <w:b/>
                <w:bCs/>
                <w:sz w:val="16"/>
                <w:szCs w:val="16"/>
              </w:rPr>
              <w:t> </w:t>
            </w:r>
          </w:p>
        </w:tc>
        <w:tc>
          <w:tcPr>
            <w:tcW w:w="1168"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b/>
                <w:bCs/>
                <w:sz w:val="16"/>
                <w:szCs w:val="16"/>
              </w:rPr>
            </w:pPr>
            <w:r w:rsidRPr="00B34608">
              <w:rPr>
                <w:b/>
                <w:bCs/>
                <w:sz w:val="16"/>
                <w:szCs w:val="16"/>
              </w:rPr>
              <w:t> </w:t>
            </w:r>
          </w:p>
        </w:tc>
        <w:tc>
          <w:tcPr>
            <w:tcW w:w="851" w:type="dxa"/>
            <w:gridSpan w:val="2"/>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b/>
                <w:bCs/>
                <w:sz w:val="16"/>
                <w:szCs w:val="16"/>
              </w:rPr>
            </w:pPr>
            <w:r w:rsidRPr="00B34608">
              <w:rPr>
                <w:b/>
                <w:bCs/>
                <w:sz w:val="16"/>
                <w:szCs w:val="16"/>
              </w:rPr>
              <w:t> </w:t>
            </w:r>
          </w:p>
        </w:tc>
        <w:tc>
          <w:tcPr>
            <w:tcW w:w="709"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b/>
                <w:bCs/>
                <w:sz w:val="16"/>
                <w:szCs w:val="16"/>
              </w:rPr>
            </w:pPr>
            <w:r w:rsidRPr="00B34608">
              <w:rPr>
                <w:b/>
                <w:bCs/>
                <w:sz w:val="16"/>
                <w:szCs w:val="16"/>
              </w:rPr>
              <w:t> </w:t>
            </w:r>
          </w:p>
        </w:tc>
        <w:tc>
          <w:tcPr>
            <w:tcW w:w="708"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b/>
                <w:bCs/>
                <w:sz w:val="16"/>
                <w:szCs w:val="16"/>
              </w:rPr>
            </w:pPr>
            <w:r w:rsidRPr="00B34608">
              <w:rPr>
                <w:b/>
                <w:bCs/>
                <w:sz w:val="16"/>
                <w:szCs w:val="16"/>
              </w:rPr>
              <w:t> </w:t>
            </w:r>
          </w:p>
        </w:tc>
        <w:tc>
          <w:tcPr>
            <w:tcW w:w="1311"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right"/>
              <w:rPr>
                <w:b/>
                <w:bCs/>
                <w:sz w:val="16"/>
                <w:szCs w:val="16"/>
              </w:rPr>
            </w:pPr>
            <w:r>
              <w:rPr>
                <w:b/>
                <w:bCs/>
                <w:sz w:val="16"/>
                <w:szCs w:val="16"/>
              </w:rPr>
              <w:t>169,</w:t>
            </w:r>
            <w:r w:rsidRPr="00B34608">
              <w:rPr>
                <w:b/>
                <w:bCs/>
                <w:sz w:val="16"/>
                <w:szCs w:val="16"/>
              </w:rPr>
              <w:t>745</w:t>
            </w:r>
            <w:r>
              <w:rPr>
                <w:b/>
                <w:bCs/>
                <w:sz w:val="16"/>
                <w:szCs w:val="16"/>
              </w:rPr>
              <w:t>,</w:t>
            </w:r>
            <w:r w:rsidRPr="00B34608">
              <w:rPr>
                <w:b/>
                <w:bCs/>
                <w:sz w:val="16"/>
                <w:szCs w:val="16"/>
              </w:rPr>
              <w:t>732</w:t>
            </w:r>
          </w:p>
        </w:tc>
        <w:tc>
          <w:tcPr>
            <w:tcW w:w="1134" w:type="dxa"/>
            <w:tcBorders>
              <w:top w:val="nil"/>
              <w:left w:val="nil"/>
              <w:bottom w:val="single" w:sz="4" w:space="0" w:color="auto"/>
              <w:right w:val="single" w:sz="4" w:space="0" w:color="auto"/>
            </w:tcBorders>
            <w:noWrap/>
            <w:vAlign w:val="center"/>
          </w:tcPr>
          <w:p w:rsidR="00D2569B" w:rsidRPr="00B34608" w:rsidRDefault="00D2569B" w:rsidP="00345038">
            <w:pPr>
              <w:tabs>
                <w:tab w:val="left" w:pos="0"/>
              </w:tabs>
              <w:jc w:val="right"/>
              <w:rPr>
                <w:b/>
                <w:sz w:val="16"/>
                <w:szCs w:val="16"/>
              </w:rPr>
            </w:pPr>
            <w:r>
              <w:rPr>
                <w:b/>
                <w:sz w:val="16"/>
                <w:szCs w:val="16"/>
              </w:rPr>
              <w:t>169,</w:t>
            </w:r>
            <w:r w:rsidRPr="00B34608">
              <w:rPr>
                <w:b/>
                <w:sz w:val="16"/>
                <w:szCs w:val="16"/>
              </w:rPr>
              <w:t>745</w:t>
            </w:r>
            <w:r>
              <w:rPr>
                <w:b/>
                <w:sz w:val="16"/>
                <w:szCs w:val="16"/>
              </w:rPr>
              <w:t>,</w:t>
            </w:r>
            <w:r w:rsidRPr="00B34608">
              <w:rPr>
                <w:b/>
                <w:sz w:val="16"/>
                <w:szCs w:val="16"/>
              </w:rPr>
              <w:t>732</w:t>
            </w:r>
          </w:p>
        </w:tc>
        <w:tc>
          <w:tcPr>
            <w:tcW w:w="708" w:type="dxa"/>
            <w:gridSpan w:val="3"/>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b/>
                <w:bCs/>
                <w:sz w:val="16"/>
                <w:szCs w:val="16"/>
              </w:rPr>
            </w:pPr>
          </w:p>
        </w:tc>
      </w:tr>
      <w:tr w:rsidR="00D2569B" w:rsidRPr="00B34608" w:rsidTr="00F56A42">
        <w:trPr>
          <w:trHeight w:val="214"/>
        </w:trPr>
        <w:tc>
          <w:tcPr>
            <w:tcW w:w="534" w:type="dxa"/>
            <w:tcBorders>
              <w:top w:val="nil"/>
              <w:left w:val="single" w:sz="4" w:space="0" w:color="auto"/>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r w:rsidRPr="00B34608">
              <w:rPr>
                <w:sz w:val="16"/>
                <w:szCs w:val="16"/>
              </w:rPr>
              <w:t>2.</w:t>
            </w:r>
          </w:p>
        </w:tc>
        <w:tc>
          <w:tcPr>
            <w:tcW w:w="2302" w:type="dxa"/>
            <w:tcBorders>
              <w:top w:val="nil"/>
              <w:left w:val="nil"/>
              <w:bottom w:val="single" w:sz="4" w:space="0" w:color="auto"/>
              <w:right w:val="single" w:sz="4" w:space="0" w:color="auto"/>
            </w:tcBorders>
            <w:vAlign w:val="center"/>
          </w:tcPr>
          <w:p w:rsidR="00D2569B" w:rsidRPr="00B34608" w:rsidRDefault="00D2569B" w:rsidP="00345038">
            <w:pPr>
              <w:tabs>
                <w:tab w:val="left" w:pos="0"/>
              </w:tabs>
              <w:rPr>
                <w:sz w:val="16"/>
                <w:szCs w:val="16"/>
              </w:rPr>
            </w:pPr>
            <w:r>
              <w:rPr>
                <w:sz w:val="16"/>
                <w:szCs w:val="16"/>
              </w:rPr>
              <w:t xml:space="preserve">Effects of fixed assets taken over from another </w:t>
            </w:r>
            <w:proofErr w:type="spellStart"/>
            <w:r>
              <w:rPr>
                <w:sz w:val="16"/>
                <w:szCs w:val="16"/>
              </w:rPr>
              <w:t>pubic</w:t>
            </w:r>
            <w:proofErr w:type="spellEnd"/>
            <w:r>
              <w:rPr>
                <w:sz w:val="16"/>
                <w:szCs w:val="16"/>
              </w:rPr>
              <w:t xml:space="preserve"> sector entity </w:t>
            </w:r>
          </w:p>
        </w:tc>
        <w:tc>
          <w:tcPr>
            <w:tcW w:w="674" w:type="dxa"/>
            <w:gridSpan w:val="2"/>
            <w:tcBorders>
              <w:top w:val="nil"/>
              <w:left w:val="nil"/>
              <w:bottom w:val="single" w:sz="4" w:space="0" w:color="auto"/>
              <w:right w:val="single" w:sz="4" w:space="0" w:color="auto"/>
            </w:tcBorders>
          </w:tcPr>
          <w:p w:rsidR="00D2569B" w:rsidRPr="00B34608" w:rsidRDefault="00D2569B" w:rsidP="00345038">
            <w:pPr>
              <w:tabs>
                <w:tab w:val="left" w:pos="0"/>
              </w:tabs>
              <w:rPr>
                <w:b/>
                <w:bCs/>
                <w:sz w:val="16"/>
                <w:szCs w:val="16"/>
              </w:rPr>
            </w:pPr>
            <w:r w:rsidRPr="00B34608">
              <w:rPr>
                <w:b/>
                <w:bCs/>
                <w:sz w:val="16"/>
                <w:szCs w:val="16"/>
              </w:rPr>
              <w:t> </w:t>
            </w:r>
          </w:p>
        </w:tc>
        <w:tc>
          <w:tcPr>
            <w:tcW w:w="1168"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D2569B" w:rsidRPr="00B34608" w:rsidRDefault="00D2569B" w:rsidP="00345038">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r>
      <w:tr w:rsidR="00D2569B" w:rsidRPr="00B34608" w:rsidTr="00F56A42">
        <w:trPr>
          <w:trHeight w:val="214"/>
        </w:trPr>
        <w:tc>
          <w:tcPr>
            <w:tcW w:w="534" w:type="dxa"/>
            <w:tcBorders>
              <w:top w:val="nil"/>
              <w:left w:val="single" w:sz="4" w:space="0" w:color="auto"/>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r w:rsidRPr="00B34608">
              <w:rPr>
                <w:sz w:val="16"/>
                <w:szCs w:val="16"/>
              </w:rPr>
              <w:t>3.</w:t>
            </w:r>
          </w:p>
        </w:tc>
        <w:tc>
          <w:tcPr>
            <w:tcW w:w="2302" w:type="dxa"/>
            <w:tcBorders>
              <w:top w:val="nil"/>
              <w:left w:val="nil"/>
              <w:bottom w:val="single" w:sz="4" w:space="0" w:color="auto"/>
              <w:right w:val="single" w:sz="4" w:space="0" w:color="auto"/>
            </w:tcBorders>
            <w:vAlign w:val="center"/>
          </w:tcPr>
          <w:p w:rsidR="00D2569B" w:rsidRPr="00B34608" w:rsidRDefault="00D2569B" w:rsidP="00345038">
            <w:pPr>
              <w:tabs>
                <w:tab w:val="left" w:pos="0"/>
              </w:tabs>
              <w:rPr>
                <w:sz w:val="16"/>
                <w:szCs w:val="16"/>
              </w:rPr>
            </w:pPr>
            <w:r>
              <w:rPr>
                <w:sz w:val="16"/>
                <w:szCs w:val="16"/>
              </w:rPr>
              <w:t xml:space="preserve">Effects of fixed assets transferred or sold to another entity </w:t>
            </w:r>
          </w:p>
        </w:tc>
        <w:tc>
          <w:tcPr>
            <w:tcW w:w="674" w:type="dxa"/>
            <w:gridSpan w:val="2"/>
            <w:tcBorders>
              <w:top w:val="nil"/>
              <w:left w:val="nil"/>
              <w:bottom w:val="single" w:sz="4" w:space="0" w:color="auto"/>
              <w:right w:val="single" w:sz="4" w:space="0" w:color="auto"/>
            </w:tcBorders>
          </w:tcPr>
          <w:p w:rsidR="00D2569B" w:rsidRPr="00B34608" w:rsidRDefault="00D2569B" w:rsidP="00345038">
            <w:pPr>
              <w:tabs>
                <w:tab w:val="left" w:pos="0"/>
              </w:tabs>
              <w:rPr>
                <w:b/>
                <w:bCs/>
                <w:sz w:val="16"/>
                <w:szCs w:val="16"/>
              </w:rPr>
            </w:pPr>
            <w:r w:rsidRPr="00B34608">
              <w:rPr>
                <w:b/>
                <w:bCs/>
                <w:sz w:val="16"/>
                <w:szCs w:val="16"/>
              </w:rPr>
              <w:t> </w:t>
            </w:r>
          </w:p>
        </w:tc>
        <w:tc>
          <w:tcPr>
            <w:tcW w:w="1168"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D2569B" w:rsidRPr="00B34608" w:rsidRDefault="00D2569B" w:rsidP="00345038">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r>
      <w:tr w:rsidR="00D2569B" w:rsidRPr="00B34608" w:rsidTr="00F56A42">
        <w:trPr>
          <w:trHeight w:val="143"/>
        </w:trPr>
        <w:tc>
          <w:tcPr>
            <w:tcW w:w="534" w:type="dxa"/>
            <w:tcBorders>
              <w:top w:val="nil"/>
              <w:left w:val="single" w:sz="4" w:space="0" w:color="auto"/>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r w:rsidRPr="00B34608">
              <w:rPr>
                <w:sz w:val="16"/>
                <w:szCs w:val="16"/>
              </w:rPr>
              <w:t>4.</w:t>
            </w:r>
          </w:p>
        </w:tc>
        <w:tc>
          <w:tcPr>
            <w:tcW w:w="2302" w:type="dxa"/>
            <w:tcBorders>
              <w:top w:val="nil"/>
              <w:left w:val="nil"/>
              <w:bottom w:val="single" w:sz="4" w:space="0" w:color="auto"/>
              <w:right w:val="single" w:sz="4" w:space="0" w:color="auto"/>
            </w:tcBorders>
            <w:vAlign w:val="center"/>
          </w:tcPr>
          <w:p w:rsidR="00D2569B" w:rsidRPr="00B34608" w:rsidRDefault="00D2569B" w:rsidP="00345038">
            <w:pPr>
              <w:tabs>
                <w:tab w:val="left" w:pos="0"/>
              </w:tabs>
              <w:rPr>
                <w:sz w:val="16"/>
                <w:szCs w:val="16"/>
              </w:rPr>
            </w:pPr>
            <w:r>
              <w:rPr>
                <w:sz w:val="16"/>
                <w:szCs w:val="16"/>
              </w:rPr>
              <w:t xml:space="preserve">Other amounts of increase (decrease) of reserves </w:t>
            </w:r>
          </w:p>
        </w:tc>
        <w:tc>
          <w:tcPr>
            <w:tcW w:w="674" w:type="dxa"/>
            <w:gridSpan w:val="2"/>
            <w:tcBorders>
              <w:top w:val="nil"/>
              <w:left w:val="nil"/>
              <w:bottom w:val="single" w:sz="4" w:space="0" w:color="auto"/>
              <w:right w:val="single" w:sz="4" w:space="0" w:color="auto"/>
            </w:tcBorders>
          </w:tcPr>
          <w:p w:rsidR="00D2569B" w:rsidRPr="00B34608" w:rsidRDefault="00D2569B" w:rsidP="00345038">
            <w:pPr>
              <w:tabs>
                <w:tab w:val="left" w:pos="0"/>
              </w:tabs>
              <w:rPr>
                <w:sz w:val="16"/>
                <w:szCs w:val="16"/>
              </w:rPr>
            </w:pPr>
            <w:r w:rsidRPr="00B34608">
              <w:rPr>
                <w:sz w:val="16"/>
                <w:szCs w:val="16"/>
              </w:rPr>
              <w:t> </w:t>
            </w:r>
          </w:p>
        </w:tc>
        <w:tc>
          <w:tcPr>
            <w:tcW w:w="1168"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D2569B" w:rsidRPr="00B34608" w:rsidRDefault="00D2569B" w:rsidP="00345038">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r>
      <w:tr w:rsidR="00D2569B" w:rsidRPr="00B34608" w:rsidTr="00F56A42">
        <w:trPr>
          <w:trHeight w:val="88"/>
        </w:trPr>
        <w:tc>
          <w:tcPr>
            <w:tcW w:w="534" w:type="dxa"/>
            <w:tcBorders>
              <w:top w:val="nil"/>
              <w:left w:val="single" w:sz="4" w:space="0" w:color="auto"/>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r w:rsidRPr="00B34608">
              <w:rPr>
                <w:sz w:val="16"/>
                <w:szCs w:val="16"/>
              </w:rPr>
              <w:t>5.</w:t>
            </w:r>
          </w:p>
        </w:tc>
        <w:tc>
          <w:tcPr>
            <w:tcW w:w="2302" w:type="dxa"/>
            <w:tcBorders>
              <w:top w:val="nil"/>
              <w:left w:val="nil"/>
              <w:bottom w:val="single" w:sz="4" w:space="0" w:color="auto"/>
              <w:right w:val="single" w:sz="4" w:space="0" w:color="auto"/>
            </w:tcBorders>
            <w:vAlign w:val="center"/>
          </w:tcPr>
          <w:p w:rsidR="00D2569B" w:rsidRPr="00B34608" w:rsidRDefault="00D2569B" w:rsidP="00345038">
            <w:pPr>
              <w:tabs>
                <w:tab w:val="left" w:pos="0"/>
              </w:tabs>
              <w:rPr>
                <w:sz w:val="16"/>
                <w:szCs w:val="16"/>
              </w:rPr>
            </w:pPr>
            <w:r>
              <w:rPr>
                <w:sz w:val="16"/>
                <w:szCs w:val="16"/>
              </w:rPr>
              <w:t>Other formed reserves</w:t>
            </w:r>
            <w:r w:rsidRPr="00B34608">
              <w:rPr>
                <w:sz w:val="16"/>
                <w:szCs w:val="16"/>
              </w:rPr>
              <w:t xml:space="preserve"> </w:t>
            </w:r>
          </w:p>
        </w:tc>
        <w:tc>
          <w:tcPr>
            <w:tcW w:w="674" w:type="dxa"/>
            <w:gridSpan w:val="2"/>
            <w:tcBorders>
              <w:top w:val="nil"/>
              <w:left w:val="nil"/>
              <w:bottom w:val="single" w:sz="4" w:space="0" w:color="auto"/>
              <w:right w:val="single" w:sz="4" w:space="0" w:color="auto"/>
            </w:tcBorders>
          </w:tcPr>
          <w:p w:rsidR="00D2569B" w:rsidRPr="00B34608" w:rsidRDefault="00D2569B" w:rsidP="00345038">
            <w:pPr>
              <w:tabs>
                <w:tab w:val="left" w:pos="0"/>
              </w:tabs>
              <w:rPr>
                <w:sz w:val="16"/>
                <w:szCs w:val="16"/>
              </w:rPr>
            </w:pPr>
            <w:r w:rsidRPr="00B34608">
              <w:rPr>
                <w:sz w:val="16"/>
                <w:szCs w:val="16"/>
              </w:rPr>
              <w:t> </w:t>
            </w:r>
          </w:p>
        </w:tc>
        <w:tc>
          <w:tcPr>
            <w:tcW w:w="1168"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D2569B" w:rsidRPr="00B34608" w:rsidRDefault="00D2569B" w:rsidP="00345038">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r>
      <w:tr w:rsidR="00D2569B" w:rsidRPr="00B34608" w:rsidTr="00F56A42">
        <w:trPr>
          <w:trHeight w:val="88"/>
        </w:trPr>
        <w:tc>
          <w:tcPr>
            <w:tcW w:w="534" w:type="dxa"/>
            <w:tcBorders>
              <w:top w:val="nil"/>
              <w:left w:val="single" w:sz="4" w:space="0" w:color="auto"/>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r w:rsidRPr="00B34608">
              <w:rPr>
                <w:sz w:val="16"/>
                <w:szCs w:val="16"/>
              </w:rPr>
              <w:t>6.</w:t>
            </w:r>
          </w:p>
        </w:tc>
        <w:tc>
          <w:tcPr>
            <w:tcW w:w="2302" w:type="dxa"/>
            <w:tcBorders>
              <w:top w:val="nil"/>
              <w:left w:val="nil"/>
              <w:bottom w:val="single" w:sz="4" w:space="0" w:color="auto"/>
              <w:right w:val="single" w:sz="4" w:space="0" w:color="auto"/>
            </w:tcBorders>
            <w:vAlign w:val="center"/>
          </w:tcPr>
          <w:p w:rsidR="00D2569B" w:rsidRPr="00B34608" w:rsidRDefault="00D2569B" w:rsidP="00345038">
            <w:pPr>
              <w:tabs>
                <w:tab w:val="left" w:pos="0"/>
              </w:tabs>
              <w:rPr>
                <w:sz w:val="16"/>
                <w:szCs w:val="16"/>
              </w:rPr>
            </w:pPr>
            <w:r>
              <w:rPr>
                <w:sz w:val="16"/>
                <w:szCs w:val="16"/>
              </w:rPr>
              <w:t>Other used reserves</w:t>
            </w:r>
          </w:p>
        </w:tc>
        <w:tc>
          <w:tcPr>
            <w:tcW w:w="674" w:type="dxa"/>
            <w:gridSpan w:val="2"/>
            <w:tcBorders>
              <w:top w:val="nil"/>
              <w:left w:val="nil"/>
              <w:bottom w:val="single" w:sz="4" w:space="0" w:color="auto"/>
              <w:right w:val="single" w:sz="4" w:space="0" w:color="auto"/>
            </w:tcBorders>
          </w:tcPr>
          <w:p w:rsidR="00D2569B" w:rsidRPr="00B34608" w:rsidRDefault="00D2569B" w:rsidP="00345038">
            <w:pPr>
              <w:tabs>
                <w:tab w:val="left" w:pos="0"/>
              </w:tabs>
              <w:rPr>
                <w:sz w:val="16"/>
                <w:szCs w:val="16"/>
              </w:rPr>
            </w:pPr>
            <w:r w:rsidRPr="00B34608">
              <w:rPr>
                <w:sz w:val="16"/>
                <w:szCs w:val="16"/>
              </w:rPr>
              <w:t> </w:t>
            </w:r>
          </w:p>
        </w:tc>
        <w:tc>
          <w:tcPr>
            <w:tcW w:w="1168"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D2569B" w:rsidRPr="00B34608" w:rsidRDefault="00D2569B" w:rsidP="00345038">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r>
      <w:tr w:rsidR="00D2569B" w:rsidRPr="00B34608" w:rsidTr="00F56A42">
        <w:trPr>
          <w:trHeight w:val="143"/>
        </w:trPr>
        <w:tc>
          <w:tcPr>
            <w:tcW w:w="534" w:type="dxa"/>
            <w:tcBorders>
              <w:top w:val="nil"/>
              <w:left w:val="single" w:sz="4" w:space="0" w:color="auto"/>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r w:rsidRPr="00B34608">
              <w:rPr>
                <w:sz w:val="16"/>
                <w:szCs w:val="16"/>
              </w:rPr>
              <w:t>7.</w:t>
            </w:r>
          </w:p>
        </w:tc>
        <w:tc>
          <w:tcPr>
            <w:tcW w:w="2302" w:type="dxa"/>
            <w:tcBorders>
              <w:top w:val="nil"/>
              <w:left w:val="nil"/>
              <w:bottom w:val="single" w:sz="4" w:space="0" w:color="auto"/>
              <w:right w:val="single" w:sz="4" w:space="0" w:color="auto"/>
            </w:tcBorders>
            <w:vAlign w:val="center"/>
          </w:tcPr>
          <w:p w:rsidR="00D2569B" w:rsidRPr="00B34608" w:rsidRDefault="00D2569B" w:rsidP="00345038">
            <w:pPr>
              <w:tabs>
                <w:tab w:val="left" w:pos="0"/>
              </w:tabs>
              <w:rPr>
                <w:sz w:val="16"/>
                <w:szCs w:val="16"/>
              </w:rPr>
            </w:pPr>
            <w:r>
              <w:rPr>
                <w:sz w:val="16"/>
                <w:szCs w:val="16"/>
              </w:rPr>
              <w:t xml:space="preserve">Amounts of increase (decrease) of stakeholders’ equity </w:t>
            </w:r>
          </w:p>
        </w:tc>
        <w:tc>
          <w:tcPr>
            <w:tcW w:w="674" w:type="dxa"/>
            <w:gridSpan w:val="2"/>
            <w:tcBorders>
              <w:top w:val="nil"/>
              <w:left w:val="nil"/>
              <w:bottom w:val="single" w:sz="4" w:space="0" w:color="auto"/>
              <w:right w:val="single" w:sz="4" w:space="0" w:color="auto"/>
            </w:tcBorders>
          </w:tcPr>
          <w:p w:rsidR="00D2569B" w:rsidRPr="00B34608" w:rsidRDefault="00D2569B" w:rsidP="00345038">
            <w:pPr>
              <w:tabs>
                <w:tab w:val="left" w:pos="0"/>
              </w:tabs>
              <w:rPr>
                <w:sz w:val="16"/>
                <w:szCs w:val="16"/>
              </w:rPr>
            </w:pPr>
            <w:r w:rsidRPr="00B34608">
              <w:rPr>
                <w:sz w:val="16"/>
                <w:szCs w:val="16"/>
              </w:rPr>
              <w:t> </w:t>
            </w:r>
          </w:p>
        </w:tc>
        <w:tc>
          <w:tcPr>
            <w:tcW w:w="1168"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D2569B" w:rsidRPr="00B34608" w:rsidRDefault="00D2569B" w:rsidP="00345038">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r>
      <w:tr w:rsidR="00D2569B" w:rsidRPr="00B34608" w:rsidTr="00F56A42">
        <w:trPr>
          <w:trHeight w:val="143"/>
        </w:trPr>
        <w:tc>
          <w:tcPr>
            <w:tcW w:w="534" w:type="dxa"/>
            <w:tcBorders>
              <w:top w:val="nil"/>
              <w:left w:val="single" w:sz="4" w:space="0" w:color="auto"/>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r w:rsidRPr="00B34608">
              <w:rPr>
                <w:sz w:val="16"/>
                <w:szCs w:val="16"/>
              </w:rPr>
              <w:t>8.</w:t>
            </w:r>
          </w:p>
        </w:tc>
        <w:tc>
          <w:tcPr>
            <w:tcW w:w="2302" w:type="dxa"/>
            <w:tcBorders>
              <w:top w:val="nil"/>
              <w:left w:val="nil"/>
              <w:bottom w:val="single" w:sz="4" w:space="0" w:color="auto"/>
              <w:right w:val="single" w:sz="4" w:space="0" w:color="auto"/>
            </w:tcBorders>
            <w:vAlign w:val="center"/>
          </w:tcPr>
          <w:p w:rsidR="00D2569B" w:rsidRPr="00B34608" w:rsidRDefault="00D2569B" w:rsidP="00345038">
            <w:pPr>
              <w:tabs>
                <w:tab w:val="left" w:pos="0"/>
              </w:tabs>
              <w:rPr>
                <w:sz w:val="16"/>
                <w:szCs w:val="16"/>
              </w:rPr>
            </w:pPr>
            <w:r>
              <w:rPr>
                <w:sz w:val="16"/>
                <w:szCs w:val="16"/>
              </w:rPr>
              <w:t xml:space="preserve">Net surplus or deficit of the reporting period </w:t>
            </w:r>
          </w:p>
        </w:tc>
        <w:tc>
          <w:tcPr>
            <w:tcW w:w="674" w:type="dxa"/>
            <w:gridSpan w:val="2"/>
            <w:tcBorders>
              <w:top w:val="nil"/>
              <w:left w:val="nil"/>
              <w:bottom w:val="single" w:sz="4" w:space="0" w:color="auto"/>
              <w:right w:val="single" w:sz="4" w:space="0" w:color="auto"/>
            </w:tcBorders>
          </w:tcPr>
          <w:p w:rsidR="00D2569B" w:rsidRPr="00B34608" w:rsidRDefault="00D2569B" w:rsidP="00345038">
            <w:pPr>
              <w:tabs>
                <w:tab w:val="left" w:pos="0"/>
              </w:tabs>
              <w:rPr>
                <w:b/>
                <w:bCs/>
                <w:sz w:val="16"/>
                <w:szCs w:val="16"/>
              </w:rPr>
            </w:pPr>
            <w:r w:rsidRPr="00B34608">
              <w:rPr>
                <w:b/>
                <w:bCs/>
                <w:sz w:val="16"/>
                <w:szCs w:val="16"/>
              </w:rPr>
              <w:t> </w:t>
            </w:r>
          </w:p>
        </w:tc>
        <w:tc>
          <w:tcPr>
            <w:tcW w:w="1168"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1311" w:type="dxa"/>
            <w:tcBorders>
              <w:top w:val="nil"/>
              <w:left w:val="nil"/>
              <w:bottom w:val="single" w:sz="4" w:space="0" w:color="auto"/>
              <w:right w:val="single" w:sz="4" w:space="0" w:color="auto"/>
            </w:tcBorders>
          </w:tcPr>
          <w:p w:rsidR="00D2569B" w:rsidRPr="00B34608" w:rsidRDefault="00D2569B" w:rsidP="00345038">
            <w:pPr>
              <w:jc w:val="right"/>
              <w:rPr>
                <w:sz w:val="16"/>
                <w:szCs w:val="16"/>
              </w:rPr>
            </w:pPr>
            <w:r>
              <w:rPr>
                <w:sz w:val="16"/>
                <w:szCs w:val="16"/>
              </w:rPr>
              <w:t>29,</w:t>
            </w:r>
            <w:r w:rsidRPr="00B34608">
              <w:rPr>
                <w:sz w:val="16"/>
                <w:szCs w:val="16"/>
              </w:rPr>
              <w:t>476</w:t>
            </w:r>
            <w:r>
              <w:rPr>
                <w:sz w:val="16"/>
                <w:szCs w:val="16"/>
              </w:rPr>
              <w:t>,</w:t>
            </w:r>
            <w:r w:rsidRPr="00B34608">
              <w:rPr>
                <w:sz w:val="16"/>
                <w:szCs w:val="16"/>
              </w:rPr>
              <w:t>428</w:t>
            </w:r>
          </w:p>
        </w:tc>
        <w:tc>
          <w:tcPr>
            <w:tcW w:w="1134" w:type="dxa"/>
            <w:tcBorders>
              <w:top w:val="nil"/>
              <w:left w:val="nil"/>
              <w:bottom w:val="single" w:sz="4" w:space="0" w:color="auto"/>
              <w:right w:val="single" w:sz="4" w:space="0" w:color="auto"/>
            </w:tcBorders>
            <w:noWrap/>
          </w:tcPr>
          <w:p w:rsidR="00D2569B" w:rsidRPr="00B34608" w:rsidRDefault="00D2569B" w:rsidP="00345038">
            <w:pPr>
              <w:jc w:val="right"/>
              <w:rPr>
                <w:sz w:val="16"/>
                <w:szCs w:val="16"/>
              </w:rPr>
            </w:pPr>
            <w:r w:rsidRPr="00B34608">
              <w:rPr>
                <w:sz w:val="16"/>
                <w:szCs w:val="16"/>
              </w:rPr>
              <w:t>29</w:t>
            </w:r>
            <w:r>
              <w:rPr>
                <w:sz w:val="16"/>
                <w:szCs w:val="16"/>
              </w:rPr>
              <w:t>,</w:t>
            </w:r>
            <w:r w:rsidRPr="00B34608">
              <w:rPr>
                <w:sz w:val="16"/>
                <w:szCs w:val="16"/>
              </w:rPr>
              <w:t>476</w:t>
            </w:r>
            <w:r>
              <w:rPr>
                <w:sz w:val="16"/>
                <w:szCs w:val="16"/>
              </w:rPr>
              <w:t>,</w:t>
            </w:r>
            <w:r w:rsidRPr="00B34608">
              <w:rPr>
                <w:sz w:val="16"/>
                <w:szCs w:val="16"/>
              </w:rPr>
              <w:t>428</w:t>
            </w:r>
          </w:p>
        </w:tc>
        <w:tc>
          <w:tcPr>
            <w:tcW w:w="708" w:type="dxa"/>
            <w:gridSpan w:val="3"/>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r>
      <w:tr w:rsidR="00D2569B" w:rsidRPr="00B34608" w:rsidTr="00F56A42">
        <w:trPr>
          <w:trHeight w:val="88"/>
        </w:trPr>
        <w:tc>
          <w:tcPr>
            <w:tcW w:w="534" w:type="dxa"/>
            <w:tcBorders>
              <w:top w:val="nil"/>
              <w:left w:val="single" w:sz="4" w:space="0" w:color="auto"/>
              <w:bottom w:val="single" w:sz="4" w:space="0" w:color="auto"/>
              <w:right w:val="single" w:sz="4" w:space="0" w:color="auto"/>
            </w:tcBorders>
            <w:vAlign w:val="center"/>
          </w:tcPr>
          <w:p w:rsidR="00D2569B" w:rsidRPr="00B34608" w:rsidRDefault="00D2569B" w:rsidP="00345038">
            <w:pPr>
              <w:tabs>
                <w:tab w:val="left" w:pos="-284"/>
              </w:tabs>
              <w:ind w:left="-284" w:firstLine="284"/>
              <w:jc w:val="center"/>
              <w:rPr>
                <w:b/>
                <w:bCs/>
                <w:sz w:val="16"/>
                <w:szCs w:val="16"/>
              </w:rPr>
            </w:pPr>
            <w:r w:rsidRPr="00B34608">
              <w:rPr>
                <w:b/>
                <w:bCs/>
                <w:sz w:val="16"/>
                <w:szCs w:val="16"/>
              </w:rPr>
              <w:t>9.</w:t>
            </w:r>
          </w:p>
        </w:tc>
        <w:tc>
          <w:tcPr>
            <w:tcW w:w="2302" w:type="dxa"/>
            <w:tcBorders>
              <w:top w:val="nil"/>
              <w:left w:val="nil"/>
              <w:bottom w:val="single" w:sz="4" w:space="0" w:color="auto"/>
              <w:right w:val="single" w:sz="4" w:space="0" w:color="auto"/>
            </w:tcBorders>
            <w:vAlign w:val="center"/>
          </w:tcPr>
          <w:p w:rsidR="00D2569B" w:rsidRPr="00B34608" w:rsidRDefault="00D2569B" w:rsidP="00345038">
            <w:pPr>
              <w:tabs>
                <w:tab w:val="left" w:pos="0"/>
              </w:tabs>
              <w:rPr>
                <w:b/>
                <w:bCs/>
                <w:sz w:val="16"/>
                <w:szCs w:val="16"/>
              </w:rPr>
            </w:pPr>
            <w:r>
              <w:rPr>
                <w:b/>
                <w:bCs/>
                <w:sz w:val="16"/>
                <w:szCs w:val="16"/>
              </w:rPr>
              <w:t>Balance as at 31 December</w:t>
            </w:r>
            <w:r w:rsidRPr="00B34608">
              <w:rPr>
                <w:b/>
                <w:bCs/>
                <w:sz w:val="16"/>
                <w:szCs w:val="16"/>
              </w:rPr>
              <w:t xml:space="preserve"> 201</w:t>
            </w:r>
            <w:r>
              <w:rPr>
                <w:b/>
                <w:bCs/>
                <w:sz w:val="16"/>
                <w:szCs w:val="16"/>
              </w:rPr>
              <w:t>6</w:t>
            </w:r>
          </w:p>
        </w:tc>
        <w:tc>
          <w:tcPr>
            <w:tcW w:w="674" w:type="dxa"/>
            <w:gridSpan w:val="2"/>
            <w:tcBorders>
              <w:top w:val="nil"/>
              <w:left w:val="nil"/>
              <w:bottom w:val="single" w:sz="4" w:space="0" w:color="auto"/>
              <w:right w:val="single" w:sz="4" w:space="0" w:color="auto"/>
            </w:tcBorders>
          </w:tcPr>
          <w:p w:rsidR="00D2569B" w:rsidRPr="00B34608" w:rsidRDefault="00D2569B" w:rsidP="00345038">
            <w:pPr>
              <w:tabs>
                <w:tab w:val="left" w:pos="0"/>
              </w:tabs>
              <w:rPr>
                <w:b/>
                <w:bCs/>
                <w:sz w:val="16"/>
                <w:szCs w:val="16"/>
              </w:rPr>
            </w:pPr>
            <w:r w:rsidRPr="00B34608">
              <w:rPr>
                <w:b/>
                <w:bCs/>
                <w:sz w:val="16"/>
                <w:szCs w:val="16"/>
              </w:rPr>
              <w:t> </w:t>
            </w:r>
          </w:p>
        </w:tc>
        <w:tc>
          <w:tcPr>
            <w:tcW w:w="1168"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2569B" w:rsidRPr="00B34608" w:rsidRDefault="00D2569B" w:rsidP="00345038">
            <w:pPr>
              <w:tabs>
                <w:tab w:val="left" w:pos="0"/>
              </w:tabs>
              <w:jc w:val="right"/>
              <w:rPr>
                <w:b/>
                <w:sz w:val="16"/>
                <w:szCs w:val="16"/>
              </w:rPr>
            </w:pPr>
          </w:p>
          <w:p w:rsidR="00D2569B" w:rsidRPr="00B34608" w:rsidRDefault="00D2569B" w:rsidP="00345038">
            <w:pPr>
              <w:tabs>
                <w:tab w:val="left" w:pos="0"/>
              </w:tabs>
              <w:jc w:val="right"/>
              <w:rPr>
                <w:b/>
                <w:sz w:val="16"/>
                <w:szCs w:val="16"/>
              </w:rPr>
            </w:pPr>
            <w:r w:rsidRPr="00B34608">
              <w:rPr>
                <w:b/>
                <w:sz w:val="16"/>
                <w:szCs w:val="16"/>
              </w:rPr>
              <w:t>199</w:t>
            </w:r>
            <w:r>
              <w:rPr>
                <w:b/>
                <w:sz w:val="16"/>
                <w:szCs w:val="16"/>
              </w:rPr>
              <w:t>,</w:t>
            </w:r>
            <w:r w:rsidRPr="00B34608">
              <w:rPr>
                <w:b/>
                <w:sz w:val="16"/>
                <w:szCs w:val="16"/>
              </w:rPr>
              <w:t>222</w:t>
            </w:r>
            <w:r>
              <w:rPr>
                <w:b/>
                <w:sz w:val="16"/>
                <w:szCs w:val="16"/>
              </w:rPr>
              <w:t>,</w:t>
            </w:r>
            <w:r w:rsidRPr="00B34608">
              <w:rPr>
                <w:b/>
                <w:sz w:val="16"/>
                <w:szCs w:val="16"/>
              </w:rPr>
              <w:t>160</w:t>
            </w:r>
          </w:p>
        </w:tc>
        <w:tc>
          <w:tcPr>
            <w:tcW w:w="1134" w:type="dxa"/>
            <w:tcBorders>
              <w:top w:val="nil"/>
              <w:left w:val="nil"/>
              <w:bottom w:val="single" w:sz="4" w:space="0" w:color="auto"/>
              <w:right w:val="single" w:sz="4" w:space="0" w:color="auto"/>
            </w:tcBorders>
            <w:noWrap/>
            <w:vAlign w:val="center"/>
          </w:tcPr>
          <w:p w:rsidR="00D2569B" w:rsidRPr="00B34608" w:rsidRDefault="00D2569B" w:rsidP="00345038">
            <w:pPr>
              <w:tabs>
                <w:tab w:val="left" w:pos="0"/>
              </w:tabs>
              <w:jc w:val="right"/>
              <w:rPr>
                <w:b/>
                <w:sz w:val="16"/>
                <w:szCs w:val="16"/>
              </w:rPr>
            </w:pPr>
          </w:p>
          <w:p w:rsidR="00D2569B" w:rsidRPr="00B34608" w:rsidRDefault="00D2569B" w:rsidP="00345038">
            <w:pPr>
              <w:tabs>
                <w:tab w:val="left" w:pos="0"/>
              </w:tabs>
              <w:jc w:val="right"/>
              <w:rPr>
                <w:b/>
                <w:sz w:val="16"/>
                <w:szCs w:val="16"/>
              </w:rPr>
            </w:pPr>
            <w:r>
              <w:rPr>
                <w:b/>
                <w:sz w:val="16"/>
                <w:szCs w:val="16"/>
              </w:rPr>
              <w:t>199,</w:t>
            </w:r>
            <w:r w:rsidRPr="00B34608">
              <w:rPr>
                <w:b/>
                <w:sz w:val="16"/>
                <w:szCs w:val="16"/>
              </w:rPr>
              <w:t>222</w:t>
            </w:r>
            <w:r>
              <w:rPr>
                <w:b/>
                <w:sz w:val="16"/>
                <w:szCs w:val="16"/>
              </w:rPr>
              <w:t>,</w:t>
            </w:r>
            <w:r w:rsidRPr="00B34608">
              <w:rPr>
                <w:b/>
                <w:sz w:val="16"/>
                <w:szCs w:val="16"/>
              </w:rPr>
              <w:t>160</w:t>
            </w:r>
          </w:p>
        </w:tc>
        <w:tc>
          <w:tcPr>
            <w:tcW w:w="708" w:type="dxa"/>
            <w:gridSpan w:val="3"/>
            <w:tcBorders>
              <w:top w:val="nil"/>
              <w:left w:val="nil"/>
              <w:bottom w:val="single" w:sz="4" w:space="0" w:color="auto"/>
              <w:right w:val="single" w:sz="4" w:space="0" w:color="auto"/>
            </w:tcBorders>
            <w:vAlign w:val="center"/>
          </w:tcPr>
          <w:p w:rsidR="00D2569B" w:rsidRPr="00B34608" w:rsidRDefault="00D2569B" w:rsidP="00345038">
            <w:pPr>
              <w:tabs>
                <w:tab w:val="left" w:pos="0"/>
              </w:tabs>
              <w:jc w:val="center"/>
              <w:rPr>
                <w:b/>
                <w:bCs/>
                <w:sz w:val="16"/>
                <w:szCs w:val="16"/>
              </w:rPr>
            </w:pPr>
          </w:p>
        </w:tc>
      </w:tr>
      <w:tr w:rsidR="00D2569B" w:rsidRPr="00B34608" w:rsidTr="00F56A42">
        <w:trPr>
          <w:trHeight w:val="176"/>
        </w:trPr>
        <w:tc>
          <w:tcPr>
            <w:tcW w:w="534" w:type="dxa"/>
            <w:tcBorders>
              <w:top w:val="nil"/>
              <w:left w:val="single" w:sz="4" w:space="0" w:color="auto"/>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r w:rsidRPr="00B34608">
              <w:rPr>
                <w:sz w:val="16"/>
                <w:szCs w:val="16"/>
              </w:rPr>
              <w:t>10.</w:t>
            </w:r>
          </w:p>
        </w:tc>
        <w:tc>
          <w:tcPr>
            <w:tcW w:w="2302" w:type="dxa"/>
            <w:tcBorders>
              <w:top w:val="nil"/>
              <w:left w:val="nil"/>
              <w:bottom w:val="single" w:sz="4" w:space="0" w:color="auto"/>
              <w:right w:val="single" w:sz="4" w:space="0" w:color="auto"/>
            </w:tcBorders>
            <w:vAlign w:val="center"/>
          </w:tcPr>
          <w:p w:rsidR="00D2569B" w:rsidRPr="00B34608" w:rsidRDefault="00D2569B" w:rsidP="00F55C6D">
            <w:pPr>
              <w:tabs>
                <w:tab w:val="left" w:pos="0"/>
              </w:tabs>
              <w:rPr>
                <w:sz w:val="16"/>
                <w:szCs w:val="16"/>
              </w:rPr>
            </w:pPr>
            <w:r>
              <w:rPr>
                <w:sz w:val="16"/>
                <w:szCs w:val="16"/>
              </w:rPr>
              <w:t xml:space="preserve">Effects of fixed assets taken over from another </w:t>
            </w:r>
            <w:proofErr w:type="spellStart"/>
            <w:r>
              <w:rPr>
                <w:sz w:val="16"/>
                <w:szCs w:val="16"/>
              </w:rPr>
              <w:t>pubic</w:t>
            </w:r>
            <w:proofErr w:type="spellEnd"/>
            <w:r>
              <w:rPr>
                <w:sz w:val="16"/>
                <w:szCs w:val="16"/>
              </w:rPr>
              <w:t xml:space="preserve"> sector entity </w:t>
            </w:r>
          </w:p>
        </w:tc>
        <w:tc>
          <w:tcPr>
            <w:tcW w:w="674" w:type="dxa"/>
            <w:gridSpan w:val="2"/>
            <w:tcBorders>
              <w:top w:val="nil"/>
              <w:left w:val="nil"/>
              <w:bottom w:val="single" w:sz="4" w:space="0" w:color="auto"/>
              <w:right w:val="single" w:sz="4" w:space="0" w:color="auto"/>
            </w:tcBorders>
          </w:tcPr>
          <w:p w:rsidR="00D2569B" w:rsidRPr="00B34608" w:rsidRDefault="00D2569B" w:rsidP="00F55C6D">
            <w:pPr>
              <w:tabs>
                <w:tab w:val="left" w:pos="0"/>
              </w:tabs>
              <w:rPr>
                <w:b/>
                <w:bCs/>
                <w:sz w:val="16"/>
                <w:szCs w:val="16"/>
              </w:rPr>
            </w:pPr>
            <w:r w:rsidRPr="00B34608">
              <w:rPr>
                <w:b/>
                <w:bCs/>
                <w:sz w:val="16"/>
                <w:szCs w:val="16"/>
              </w:rPr>
              <w:t> </w:t>
            </w:r>
          </w:p>
        </w:tc>
        <w:tc>
          <w:tcPr>
            <w:tcW w:w="1168"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D2569B" w:rsidRPr="00B34608" w:rsidRDefault="00D2569B" w:rsidP="00F55C6D">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r>
      <w:tr w:rsidR="00D2569B" w:rsidRPr="00B34608" w:rsidTr="00F56A42">
        <w:trPr>
          <w:trHeight w:val="59"/>
        </w:trPr>
        <w:tc>
          <w:tcPr>
            <w:tcW w:w="534" w:type="dxa"/>
            <w:tcBorders>
              <w:top w:val="nil"/>
              <w:left w:val="single" w:sz="4" w:space="0" w:color="auto"/>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r w:rsidRPr="00B34608">
              <w:rPr>
                <w:sz w:val="16"/>
                <w:szCs w:val="16"/>
              </w:rPr>
              <w:t>11.</w:t>
            </w:r>
          </w:p>
        </w:tc>
        <w:tc>
          <w:tcPr>
            <w:tcW w:w="2302" w:type="dxa"/>
            <w:tcBorders>
              <w:top w:val="nil"/>
              <w:left w:val="nil"/>
              <w:bottom w:val="single" w:sz="4" w:space="0" w:color="auto"/>
              <w:right w:val="single" w:sz="4" w:space="0" w:color="auto"/>
            </w:tcBorders>
            <w:vAlign w:val="center"/>
          </w:tcPr>
          <w:p w:rsidR="00D2569B" w:rsidRPr="00B34608" w:rsidRDefault="00D2569B" w:rsidP="00F55C6D">
            <w:pPr>
              <w:tabs>
                <w:tab w:val="left" w:pos="0"/>
              </w:tabs>
              <w:rPr>
                <w:sz w:val="16"/>
                <w:szCs w:val="16"/>
              </w:rPr>
            </w:pPr>
            <w:r>
              <w:rPr>
                <w:sz w:val="16"/>
                <w:szCs w:val="16"/>
              </w:rPr>
              <w:t xml:space="preserve">Effects of fixed assets transferred or sold to another entity </w:t>
            </w:r>
          </w:p>
        </w:tc>
        <w:tc>
          <w:tcPr>
            <w:tcW w:w="674" w:type="dxa"/>
            <w:gridSpan w:val="2"/>
            <w:tcBorders>
              <w:top w:val="nil"/>
              <w:left w:val="nil"/>
              <w:bottom w:val="single" w:sz="4" w:space="0" w:color="auto"/>
              <w:right w:val="single" w:sz="4" w:space="0" w:color="auto"/>
            </w:tcBorders>
          </w:tcPr>
          <w:p w:rsidR="00D2569B" w:rsidRPr="00B34608" w:rsidRDefault="00D2569B" w:rsidP="00F55C6D">
            <w:pPr>
              <w:tabs>
                <w:tab w:val="left" w:pos="0"/>
              </w:tabs>
              <w:rPr>
                <w:b/>
                <w:bCs/>
                <w:sz w:val="16"/>
                <w:szCs w:val="16"/>
              </w:rPr>
            </w:pPr>
            <w:r w:rsidRPr="00B34608">
              <w:rPr>
                <w:b/>
                <w:bCs/>
                <w:sz w:val="16"/>
                <w:szCs w:val="16"/>
              </w:rPr>
              <w:t> </w:t>
            </w:r>
          </w:p>
        </w:tc>
        <w:tc>
          <w:tcPr>
            <w:tcW w:w="1168"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D2569B" w:rsidRPr="00B34608" w:rsidRDefault="00D2569B" w:rsidP="00F55C6D">
            <w:pPr>
              <w:tabs>
                <w:tab w:val="left" w:pos="0"/>
              </w:tabs>
              <w:rPr>
                <w:sz w:val="16"/>
                <w:szCs w:val="16"/>
              </w:rPr>
            </w:pPr>
          </w:p>
        </w:tc>
        <w:tc>
          <w:tcPr>
            <w:tcW w:w="708" w:type="dxa"/>
            <w:gridSpan w:val="3"/>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r>
      <w:tr w:rsidR="00D2569B" w:rsidRPr="00B34608" w:rsidTr="00F56A42">
        <w:trPr>
          <w:trHeight w:val="143"/>
        </w:trPr>
        <w:tc>
          <w:tcPr>
            <w:tcW w:w="534"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r w:rsidRPr="00B34608">
              <w:rPr>
                <w:sz w:val="16"/>
                <w:szCs w:val="16"/>
              </w:rPr>
              <w:t>12.</w:t>
            </w:r>
          </w:p>
        </w:tc>
        <w:tc>
          <w:tcPr>
            <w:tcW w:w="2302" w:type="dxa"/>
            <w:tcBorders>
              <w:top w:val="single" w:sz="4" w:space="0" w:color="auto"/>
              <w:left w:val="nil"/>
              <w:bottom w:val="single" w:sz="4" w:space="0" w:color="auto"/>
              <w:right w:val="single" w:sz="4" w:space="0" w:color="auto"/>
            </w:tcBorders>
            <w:vAlign w:val="center"/>
          </w:tcPr>
          <w:p w:rsidR="00D2569B" w:rsidRPr="00B34608" w:rsidRDefault="00D2569B" w:rsidP="00F55C6D">
            <w:pPr>
              <w:tabs>
                <w:tab w:val="left" w:pos="0"/>
              </w:tabs>
              <w:rPr>
                <w:sz w:val="16"/>
                <w:szCs w:val="16"/>
              </w:rPr>
            </w:pPr>
            <w:r>
              <w:rPr>
                <w:sz w:val="16"/>
                <w:szCs w:val="16"/>
              </w:rPr>
              <w:t xml:space="preserve">Other amounts of increase (decrease) of reserves </w:t>
            </w:r>
          </w:p>
        </w:tc>
        <w:tc>
          <w:tcPr>
            <w:tcW w:w="674" w:type="dxa"/>
            <w:gridSpan w:val="2"/>
            <w:tcBorders>
              <w:top w:val="single" w:sz="4" w:space="0" w:color="auto"/>
              <w:left w:val="nil"/>
              <w:bottom w:val="single" w:sz="4" w:space="0" w:color="auto"/>
              <w:right w:val="single" w:sz="4" w:space="0" w:color="auto"/>
            </w:tcBorders>
          </w:tcPr>
          <w:p w:rsidR="00D2569B" w:rsidRPr="00B34608" w:rsidRDefault="00D2569B" w:rsidP="00F55C6D">
            <w:pPr>
              <w:tabs>
                <w:tab w:val="left" w:pos="0"/>
              </w:tabs>
              <w:rPr>
                <w:b/>
                <w:bCs/>
                <w:sz w:val="16"/>
                <w:szCs w:val="16"/>
              </w:rPr>
            </w:pPr>
            <w:r w:rsidRPr="00B34608">
              <w:rPr>
                <w:b/>
                <w:bCs/>
                <w:sz w:val="16"/>
                <w:szCs w:val="16"/>
              </w:rPr>
              <w:t> </w:t>
            </w:r>
          </w:p>
        </w:tc>
        <w:tc>
          <w:tcPr>
            <w:tcW w:w="1168" w:type="dxa"/>
            <w:tcBorders>
              <w:top w:val="single" w:sz="4" w:space="0" w:color="auto"/>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851" w:type="dxa"/>
            <w:gridSpan w:val="2"/>
            <w:tcBorders>
              <w:top w:val="single" w:sz="4" w:space="0" w:color="auto"/>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709" w:type="dxa"/>
            <w:tcBorders>
              <w:top w:val="single" w:sz="4" w:space="0" w:color="auto"/>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708" w:type="dxa"/>
            <w:tcBorders>
              <w:top w:val="single" w:sz="4" w:space="0" w:color="auto"/>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1311" w:type="dxa"/>
            <w:tcBorders>
              <w:top w:val="single" w:sz="4" w:space="0" w:color="auto"/>
              <w:left w:val="nil"/>
              <w:bottom w:val="single" w:sz="4" w:space="0" w:color="auto"/>
              <w:right w:val="single" w:sz="4" w:space="0" w:color="auto"/>
            </w:tcBorders>
            <w:vAlign w:val="center"/>
          </w:tcPr>
          <w:p w:rsidR="00D2569B" w:rsidRPr="00B34608" w:rsidRDefault="00D2569B" w:rsidP="00F55C6D">
            <w:pPr>
              <w:tabs>
                <w:tab w:val="left" w:pos="0"/>
              </w:tabs>
              <w:jc w:val="right"/>
              <w:rPr>
                <w:sz w:val="16"/>
                <w:szCs w:val="16"/>
              </w:rPr>
            </w:pPr>
          </w:p>
        </w:tc>
        <w:tc>
          <w:tcPr>
            <w:tcW w:w="1134" w:type="dxa"/>
            <w:tcBorders>
              <w:top w:val="single" w:sz="4" w:space="0" w:color="auto"/>
              <w:left w:val="nil"/>
              <w:bottom w:val="single" w:sz="4" w:space="0" w:color="auto"/>
              <w:right w:val="single" w:sz="4" w:space="0" w:color="auto"/>
            </w:tcBorders>
            <w:noWrap/>
            <w:vAlign w:val="bottom"/>
          </w:tcPr>
          <w:p w:rsidR="00D2569B" w:rsidRPr="00B34608" w:rsidRDefault="00D2569B" w:rsidP="00F55C6D">
            <w:pPr>
              <w:tabs>
                <w:tab w:val="left" w:pos="0"/>
              </w:tabs>
              <w:rPr>
                <w:sz w:val="16"/>
                <w:szCs w:val="16"/>
              </w:rPr>
            </w:pPr>
          </w:p>
        </w:tc>
        <w:tc>
          <w:tcPr>
            <w:tcW w:w="708" w:type="dxa"/>
            <w:gridSpan w:val="3"/>
            <w:tcBorders>
              <w:top w:val="single" w:sz="4" w:space="0" w:color="auto"/>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r>
      <w:tr w:rsidR="00D2569B" w:rsidRPr="00B34608" w:rsidTr="00F56A42">
        <w:trPr>
          <w:trHeight w:val="88"/>
        </w:trPr>
        <w:tc>
          <w:tcPr>
            <w:tcW w:w="534"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r w:rsidRPr="00B34608">
              <w:rPr>
                <w:sz w:val="16"/>
                <w:szCs w:val="16"/>
              </w:rPr>
              <w:t>13.</w:t>
            </w:r>
          </w:p>
        </w:tc>
        <w:tc>
          <w:tcPr>
            <w:tcW w:w="2302" w:type="dxa"/>
            <w:tcBorders>
              <w:top w:val="single" w:sz="4" w:space="0" w:color="auto"/>
              <w:left w:val="nil"/>
              <w:bottom w:val="single" w:sz="4" w:space="0" w:color="auto"/>
              <w:right w:val="single" w:sz="4" w:space="0" w:color="auto"/>
            </w:tcBorders>
            <w:vAlign w:val="center"/>
          </w:tcPr>
          <w:p w:rsidR="00D2569B" w:rsidRPr="00B34608" w:rsidRDefault="00D2569B" w:rsidP="00F55C6D">
            <w:pPr>
              <w:tabs>
                <w:tab w:val="left" w:pos="0"/>
              </w:tabs>
              <w:rPr>
                <w:sz w:val="16"/>
                <w:szCs w:val="16"/>
              </w:rPr>
            </w:pPr>
            <w:r>
              <w:rPr>
                <w:sz w:val="16"/>
                <w:szCs w:val="16"/>
              </w:rPr>
              <w:t>Other formed reserves</w:t>
            </w:r>
            <w:r w:rsidRPr="00B34608">
              <w:rPr>
                <w:sz w:val="16"/>
                <w:szCs w:val="16"/>
              </w:rPr>
              <w:t xml:space="preserve"> </w:t>
            </w:r>
          </w:p>
        </w:tc>
        <w:tc>
          <w:tcPr>
            <w:tcW w:w="674" w:type="dxa"/>
            <w:gridSpan w:val="2"/>
            <w:tcBorders>
              <w:top w:val="single" w:sz="4" w:space="0" w:color="auto"/>
              <w:left w:val="nil"/>
              <w:bottom w:val="single" w:sz="4" w:space="0" w:color="auto"/>
              <w:right w:val="single" w:sz="4" w:space="0" w:color="auto"/>
            </w:tcBorders>
          </w:tcPr>
          <w:p w:rsidR="00D2569B" w:rsidRPr="00B34608" w:rsidRDefault="00D2569B" w:rsidP="00F55C6D">
            <w:pPr>
              <w:tabs>
                <w:tab w:val="left" w:pos="0"/>
              </w:tabs>
              <w:rPr>
                <w:b/>
                <w:bCs/>
                <w:sz w:val="16"/>
                <w:szCs w:val="16"/>
              </w:rPr>
            </w:pPr>
            <w:r w:rsidRPr="00B34608">
              <w:rPr>
                <w:b/>
                <w:bCs/>
                <w:sz w:val="16"/>
                <w:szCs w:val="16"/>
              </w:rPr>
              <w:t> </w:t>
            </w:r>
          </w:p>
        </w:tc>
        <w:tc>
          <w:tcPr>
            <w:tcW w:w="1168" w:type="dxa"/>
            <w:tcBorders>
              <w:top w:val="single" w:sz="4" w:space="0" w:color="auto"/>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851" w:type="dxa"/>
            <w:gridSpan w:val="2"/>
            <w:tcBorders>
              <w:top w:val="single" w:sz="4" w:space="0" w:color="auto"/>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709" w:type="dxa"/>
            <w:tcBorders>
              <w:top w:val="single" w:sz="4" w:space="0" w:color="auto"/>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708" w:type="dxa"/>
            <w:tcBorders>
              <w:top w:val="single" w:sz="4" w:space="0" w:color="auto"/>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1311" w:type="dxa"/>
            <w:tcBorders>
              <w:top w:val="single" w:sz="4" w:space="0" w:color="auto"/>
              <w:left w:val="nil"/>
              <w:bottom w:val="single" w:sz="4" w:space="0" w:color="auto"/>
              <w:right w:val="single" w:sz="4" w:space="0" w:color="auto"/>
            </w:tcBorders>
            <w:vAlign w:val="center"/>
          </w:tcPr>
          <w:p w:rsidR="00D2569B" w:rsidRPr="00B34608" w:rsidRDefault="00D2569B" w:rsidP="00F55C6D">
            <w:pPr>
              <w:tabs>
                <w:tab w:val="left" w:pos="0"/>
              </w:tabs>
              <w:jc w:val="right"/>
              <w:rPr>
                <w:sz w:val="16"/>
                <w:szCs w:val="16"/>
              </w:rPr>
            </w:pPr>
          </w:p>
        </w:tc>
        <w:tc>
          <w:tcPr>
            <w:tcW w:w="1134" w:type="dxa"/>
            <w:tcBorders>
              <w:top w:val="single" w:sz="4" w:space="0" w:color="auto"/>
              <w:left w:val="nil"/>
              <w:bottom w:val="single" w:sz="4" w:space="0" w:color="auto"/>
              <w:right w:val="single" w:sz="4" w:space="0" w:color="auto"/>
            </w:tcBorders>
            <w:noWrap/>
            <w:vAlign w:val="bottom"/>
          </w:tcPr>
          <w:p w:rsidR="00D2569B" w:rsidRPr="00B34608" w:rsidRDefault="00D2569B" w:rsidP="00F55C6D">
            <w:pPr>
              <w:tabs>
                <w:tab w:val="left" w:pos="0"/>
              </w:tabs>
              <w:rPr>
                <w:sz w:val="16"/>
                <w:szCs w:val="16"/>
              </w:rPr>
            </w:pPr>
          </w:p>
        </w:tc>
        <w:tc>
          <w:tcPr>
            <w:tcW w:w="708" w:type="dxa"/>
            <w:gridSpan w:val="3"/>
            <w:tcBorders>
              <w:top w:val="single" w:sz="4" w:space="0" w:color="auto"/>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r>
      <w:tr w:rsidR="00D2569B" w:rsidRPr="00B34608" w:rsidTr="00F56A42">
        <w:trPr>
          <w:trHeight w:val="88"/>
        </w:trPr>
        <w:tc>
          <w:tcPr>
            <w:tcW w:w="534" w:type="dxa"/>
            <w:tcBorders>
              <w:top w:val="nil"/>
              <w:left w:val="single" w:sz="4" w:space="0" w:color="auto"/>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r w:rsidRPr="00B34608">
              <w:rPr>
                <w:sz w:val="16"/>
                <w:szCs w:val="16"/>
              </w:rPr>
              <w:t>14.</w:t>
            </w:r>
          </w:p>
        </w:tc>
        <w:tc>
          <w:tcPr>
            <w:tcW w:w="2302" w:type="dxa"/>
            <w:tcBorders>
              <w:top w:val="nil"/>
              <w:left w:val="nil"/>
              <w:bottom w:val="single" w:sz="4" w:space="0" w:color="auto"/>
              <w:right w:val="single" w:sz="4" w:space="0" w:color="auto"/>
            </w:tcBorders>
            <w:vAlign w:val="center"/>
          </w:tcPr>
          <w:p w:rsidR="00D2569B" w:rsidRPr="00B34608" w:rsidRDefault="00D2569B" w:rsidP="00F55C6D">
            <w:pPr>
              <w:tabs>
                <w:tab w:val="left" w:pos="0"/>
              </w:tabs>
              <w:rPr>
                <w:sz w:val="16"/>
                <w:szCs w:val="16"/>
              </w:rPr>
            </w:pPr>
            <w:r>
              <w:rPr>
                <w:sz w:val="16"/>
                <w:szCs w:val="16"/>
              </w:rPr>
              <w:t>Other used reserves</w:t>
            </w:r>
          </w:p>
        </w:tc>
        <w:tc>
          <w:tcPr>
            <w:tcW w:w="674" w:type="dxa"/>
            <w:gridSpan w:val="2"/>
            <w:tcBorders>
              <w:top w:val="nil"/>
              <w:left w:val="nil"/>
              <w:bottom w:val="single" w:sz="4" w:space="0" w:color="auto"/>
              <w:right w:val="single" w:sz="4" w:space="0" w:color="auto"/>
            </w:tcBorders>
          </w:tcPr>
          <w:p w:rsidR="00D2569B" w:rsidRPr="00B34608" w:rsidRDefault="00D2569B" w:rsidP="00F55C6D">
            <w:pPr>
              <w:tabs>
                <w:tab w:val="left" w:pos="0"/>
              </w:tabs>
              <w:rPr>
                <w:b/>
                <w:bCs/>
                <w:sz w:val="16"/>
                <w:szCs w:val="16"/>
              </w:rPr>
            </w:pPr>
            <w:r w:rsidRPr="00B34608">
              <w:rPr>
                <w:b/>
                <w:bCs/>
                <w:sz w:val="16"/>
                <w:szCs w:val="16"/>
              </w:rPr>
              <w:t> </w:t>
            </w:r>
          </w:p>
        </w:tc>
        <w:tc>
          <w:tcPr>
            <w:tcW w:w="1168"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1134" w:type="dxa"/>
            <w:tcBorders>
              <w:top w:val="nil"/>
              <w:left w:val="nil"/>
              <w:bottom w:val="single" w:sz="4" w:space="0" w:color="auto"/>
              <w:right w:val="single" w:sz="4" w:space="0" w:color="auto"/>
            </w:tcBorders>
            <w:noWrap/>
            <w:vAlign w:val="bottom"/>
          </w:tcPr>
          <w:p w:rsidR="00D2569B" w:rsidRPr="00B34608" w:rsidRDefault="00D2569B" w:rsidP="00F55C6D">
            <w:pPr>
              <w:tabs>
                <w:tab w:val="left" w:pos="0"/>
              </w:tabs>
              <w:rPr>
                <w:sz w:val="16"/>
                <w:szCs w:val="16"/>
              </w:rPr>
            </w:pPr>
          </w:p>
        </w:tc>
        <w:tc>
          <w:tcPr>
            <w:tcW w:w="708" w:type="dxa"/>
            <w:gridSpan w:val="3"/>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r>
      <w:tr w:rsidR="00D2569B" w:rsidRPr="00B34608" w:rsidTr="00F56A42">
        <w:trPr>
          <w:trHeight w:val="143"/>
        </w:trPr>
        <w:tc>
          <w:tcPr>
            <w:tcW w:w="534" w:type="dxa"/>
            <w:tcBorders>
              <w:top w:val="nil"/>
              <w:left w:val="single" w:sz="4" w:space="0" w:color="auto"/>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r w:rsidRPr="00B34608">
              <w:rPr>
                <w:sz w:val="16"/>
                <w:szCs w:val="16"/>
              </w:rPr>
              <w:t>15.</w:t>
            </w:r>
          </w:p>
        </w:tc>
        <w:tc>
          <w:tcPr>
            <w:tcW w:w="2302" w:type="dxa"/>
            <w:tcBorders>
              <w:top w:val="nil"/>
              <w:left w:val="nil"/>
              <w:bottom w:val="single" w:sz="4" w:space="0" w:color="auto"/>
              <w:right w:val="single" w:sz="4" w:space="0" w:color="auto"/>
            </w:tcBorders>
            <w:vAlign w:val="center"/>
          </w:tcPr>
          <w:p w:rsidR="00D2569B" w:rsidRPr="00B34608" w:rsidRDefault="00D2569B" w:rsidP="00F55C6D">
            <w:pPr>
              <w:tabs>
                <w:tab w:val="left" w:pos="0"/>
              </w:tabs>
              <w:rPr>
                <w:sz w:val="16"/>
                <w:szCs w:val="16"/>
              </w:rPr>
            </w:pPr>
            <w:r>
              <w:rPr>
                <w:sz w:val="16"/>
                <w:szCs w:val="16"/>
              </w:rPr>
              <w:t>Amounts of increase (decrease) of stakeholders’ equity</w:t>
            </w:r>
          </w:p>
        </w:tc>
        <w:tc>
          <w:tcPr>
            <w:tcW w:w="674" w:type="dxa"/>
            <w:gridSpan w:val="2"/>
            <w:tcBorders>
              <w:top w:val="nil"/>
              <w:left w:val="nil"/>
              <w:bottom w:val="single" w:sz="4" w:space="0" w:color="auto"/>
              <w:right w:val="single" w:sz="4" w:space="0" w:color="auto"/>
            </w:tcBorders>
          </w:tcPr>
          <w:p w:rsidR="00D2569B" w:rsidRPr="00B34608" w:rsidRDefault="00D2569B" w:rsidP="00F55C6D">
            <w:pPr>
              <w:tabs>
                <w:tab w:val="left" w:pos="0"/>
              </w:tabs>
              <w:rPr>
                <w:b/>
                <w:bCs/>
                <w:sz w:val="16"/>
                <w:szCs w:val="16"/>
              </w:rPr>
            </w:pPr>
            <w:r w:rsidRPr="00B34608">
              <w:rPr>
                <w:b/>
                <w:bCs/>
                <w:sz w:val="16"/>
                <w:szCs w:val="16"/>
              </w:rPr>
              <w:t> </w:t>
            </w:r>
          </w:p>
        </w:tc>
        <w:tc>
          <w:tcPr>
            <w:tcW w:w="1168"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1134" w:type="dxa"/>
            <w:tcBorders>
              <w:top w:val="nil"/>
              <w:left w:val="nil"/>
              <w:bottom w:val="single" w:sz="4" w:space="0" w:color="auto"/>
              <w:right w:val="single" w:sz="4" w:space="0" w:color="auto"/>
            </w:tcBorders>
            <w:noWrap/>
            <w:vAlign w:val="bottom"/>
          </w:tcPr>
          <w:p w:rsidR="00D2569B" w:rsidRPr="00B34608" w:rsidRDefault="00D2569B" w:rsidP="00F55C6D">
            <w:pPr>
              <w:tabs>
                <w:tab w:val="left" w:pos="0"/>
              </w:tabs>
              <w:rPr>
                <w:sz w:val="16"/>
                <w:szCs w:val="16"/>
              </w:rPr>
            </w:pPr>
            <w:r w:rsidRPr="00B34608">
              <w:rPr>
                <w:sz w:val="16"/>
                <w:szCs w:val="16"/>
              </w:rPr>
              <w:t> </w:t>
            </w:r>
          </w:p>
        </w:tc>
        <w:tc>
          <w:tcPr>
            <w:tcW w:w="708" w:type="dxa"/>
            <w:gridSpan w:val="3"/>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r w:rsidRPr="00B34608">
              <w:rPr>
                <w:sz w:val="16"/>
                <w:szCs w:val="16"/>
              </w:rPr>
              <w:t> </w:t>
            </w:r>
          </w:p>
        </w:tc>
      </w:tr>
      <w:tr w:rsidR="00D2569B" w:rsidRPr="00B34608" w:rsidTr="00F56A42">
        <w:trPr>
          <w:trHeight w:val="143"/>
        </w:trPr>
        <w:tc>
          <w:tcPr>
            <w:tcW w:w="534" w:type="dxa"/>
            <w:tcBorders>
              <w:top w:val="nil"/>
              <w:left w:val="single" w:sz="4" w:space="0" w:color="auto"/>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r w:rsidRPr="00B34608">
              <w:rPr>
                <w:sz w:val="16"/>
                <w:szCs w:val="16"/>
              </w:rPr>
              <w:t>16.</w:t>
            </w:r>
          </w:p>
        </w:tc>
        <w:tc>
          <w:tcPr>
            <w:tcW w:w="2302" w:type="dxa"/>
            <w:tcBorders>
              <w:top w:val="nil"/>
              <w:left w:val="nil"/>
              <w:bottom w:val="single" w:sz="4" w:space="0" w:color="auto"/>
              <w:right w:val="single" w:sz="4" w:space="0" w:color="auto"/>
            </w:tcBorders>
            <w:vAlign w:val="center"/>
          </w:tcPr>
          <w:p w:rsidR="00D2569B" w:rsidRPr="00B34608" w:rsidRDefault="00D2569B" w:rsidP="00F55C6D">
            <w:pPr>
              <w:tabs>
                <w:tab w:val="left" w:pos="0"/>
              </w:tabs>
              <w:rPr>
                <w:sz w:val="16"/>
                <w:szCs w:val="16"/>
              </w:rPr>
            </w:pPr>
            <w:r>
              <w:rPr>
                <w:sz w:val="16"/>
                <w:szCs w:val="16"/>
              </w:rPr>
              <w:t xml:space="preserve">Net surplus or deficit of the reporting period </w:t>
            </w:r>
          </w:p>
        </w:tc>
        <w:tc>
          <w:tcPr>
            <w:tcW w:w="674" w:type="dxa"/>
            <w:gridSpan w:val="2"/>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bCs/>
                <w:sz w:val="16"/>
                <w:szCs w:val="16"/>
              </w:rPr>
            </w:pPr>
            <w:r w:rsidRPr="00B34608">
              <w:rPr>
                <w:bCs/>
                <w:sz w:val="16"/>
                <w:szCs w:val="16"/>
              </w:rPr>
              <w:t>7</w:t>
            </w:r>
          </w:p>
        </w:tc>
        <w:tc>
          <w:tcPr>
            <w:tcW w:w="1168"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r w:rsidRPr="00B34608">
              <w:rPr>
                <w:sz w:val="16"/>
                <w:szCs w:val="16"/>
              </w:rPr>
              <w:t> </w:t>
            </w:r>
          </w:p>
        </w:tc>
        <w:tc>
          <w:tcPr>
            <w:tcW w:w="1311" w:type="dxa"/>
            <w:tcBorders>
              <w:top w:val="nil"/>
              <w:left w:val="nil"/>
              <w:bottom w:val="single" w:sz="4" w:space="0" w:color="auto"/>
              <w:right w:val="single" w:sz="4" w:space="0" w:color="auto"/>
            </w:tcBorders>
            <w:vAlign w:val="bottom"/>
          </w:tcPr>
          <w:p w:rsidR="00D2569B" w:rsidRPr="00B34608" w:rsidRDefault="00D2569B" w:rsidP="00F55C6D">
            <w:pPr>
              <w:tabs>
                <w:tab w:val="left" w:pos="0"/>
              </w:tabs>
              <w:jc w:val="right"/>
              <w:rPr>
                <w:sz w:val="16"/>
                <w:szCs w:val="16"/>
              </w:rPr>
            </w:pPr>
            <w:r w:rsidRPr="00B34608">
              <w:rPr>
                <w:sz w:val="16"/>
                <w:szCs w:val="16"/>
              </w:rPr>
              <w:t>29</w:t>
            </w:r>
            <w:r>
              <w:rPr>
                <w:sz w:val="16"/>
                <w:szCs w:val="16"/>
              </w:rPr>
              <w:t>,</w:t>
            </w:r>
            <w:r w:rsidRPr="00B34608">
              <w:rPr>
                <w:sz w:val="16"/>
                <w:szCs w:val="16"/>
              </w:rPr>
              <w:t>103</w:t>
            </w:r>
            <w:r>
              <w:rPr>
                <w:sz w:val="16"/>
                <w:szCs w:val="16"/>
              </w:rPr>
              <w:t>,</w:t>
            </w:r>
            <w:r w:rsidRPr="00B34608">
              <w:rPr>
                <w:sz w:val="16"/>
                <w:szCs w:val="16"/>
              </w:rPr>
              <w:t>764</w:t>
            </w:r>
          </w:p>
          <w:p w:rsidR="00D2569B" w:rsidRPr="00B34608" w:rsidRDefault="00D2569B" w:rsidP="00F55C6D">
            <w:pPr>
              <w:tabs>
                <w:tab w:val="left" w:pos="0"/>
              </w:tabs>
              <w:jc w:val="right"/>
              <w:rPr>
                <w:color w:val="FF0000"/>
                <w:sz w:val="16"/>
                <w:szCs w:val="16"/>
              </w:rPr>
            </w:pPr>
          </w:p>
        </w:tc>
        <w:tc>
          <w:tcPr>
            <w:tcW w:w="1134" w:type="dxa"/>
            <w:tcBorders>
              <w:top w:val="nil"/>
              <w:left w:val="nil"/>
              <w:bottom w:val="single" w:sz="4" w:space="0" w:color="auto"/>
              <w:right w:val="single" w:sz="4" w:space="0" w:color="auto"/>
            </w:tcBorders>
            <w:noWrap/>
            <w:vAlign w:val="bottom"/>
          </w:tcPr>
          <w:p w:rsidR="00D2569B" w:rsidRPr="00B34608" w:rsidRDefault="00D2569B" w:rsidP="00F55C6D">
            <w:pPr>
              <w:tabs>
                <w:tab w:val="left" w:pos="0"/>
              </w:tabs>
              <w:jc w:val="right"/>
              <w:rPr>
                <w:sz w:val="16"/>
                <w:szCs w:val="16"/>
              </w:rPr>
            </w:pPr>
          </w:p>
          <w:p w:rsidR="00D2569B" w:rsidRPr="00B34608" w:rsidRDefault="00D2569B" w:rsidP="00F55C6D">
            <w:pPr>
              <w:tabs>
                <w:tab w:val="left" w:pos="0"/>
              </w:tabs>
              <w:jc w:val="right"/>
              <w:rPr>
                <w:sz w:val="16"/>
                <w:szCs w:val="16"/>
              </w:rPr>
            </w:pPr>
            <w:r w:rsidRPr="00B34608">
              <w:rPr>
                <w:sz w:val="16"/>
                <w:szCs w:val="16"/>
              </w:rPr>
              <w:t>29</w:t>
            </w:r>
            <w:r>
              <w:rPr>
                <w:sz w:val="16"/>
                <w:szCs w:val="16"/>
              </w:rPr>
              <w:t>,103,</w:t>
            </w:r>
            <w:r w:rsidRPr="00B34608">
              <w:rPr>
                <w:sz w:val="16"/>
                <w:szCs w:val="16"/>
              </w:rPr>
              <w:t>764</w:t>
            </w:r>
          </w:p>
          <w:p w:rsidR="00D2569B" w:rsidRPr="00B34608" w:rsidRDefault="00D2569B" w:rsidP="00F55C6D">
            <w:pPr>
              <w:tabs>
                <w:tab w:val="left" w:pos="0"/>
              </w:tabs>
              <w:jc w:val="right"/>
              <w:rPr>
                <w:color w:val="FF0000"/>
                <w:sz w:val="16"/>
                <w:szCs w:val="16"/>
              </w:rPr>
            </w:pPr>
          </w:p>
        </w:tc>
        <w:tc>
          <w:tcPr>
            <w:tcW w:w="708" w:type="dxa"/>
            <w:gridSpan w:val="3"/>
            <w:tcBorders>
              <w:top w:val="nil"/>
              <w:left w:val="nil"/>
              <w:bottom w:val="single" w:sz="4" w:space="0" w:color="auto"/>
              <w:right w:val="single" w:sz="4" w:space="0" w:color="auto"/>
            </w:tcBorders>
            <w:vAlign w:val="center"/>
          </w:tcPr>
          <w:p w:rsidR="00D2569B" w:rsidRPr="00B34608" w:rsidRDefault="00D2569B" w:rsidP="00F55C6D">
            <w:pPr>
              <w:tabs>
                <w:tab w:val="left" w:pos="0"/>
              </w:tabs>
              <w:jc w:val="center"/>
              <w:rPr>
                <w:sz w:val="16"/>
                <w:szCs w:val="16"/>
              </w:rPr>
            </w:pPr>
            <w:r w:rsidRPr="00B34608">
              <w:rPr>
                <w:sz w:val="16"/>
                <w:szCs w:val="16"/>
              </w:rPr>
              <w:t> </w:t>
            </w:r>
          </w:p>
        </w:tc>
      </w:tr>
      <w:tr w:rsidR="00D2569B" w:rsidRPr="00B34608" w:rsidTr="00F56A42">
        <w:trPr>
          <w:trHeight w:val="420"/>
        </w:trPr>
        <w:tc>
          <w:tcPr>
            <w:tcW w:w="53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10B76">
            <w:pPr>
              <w:tabs>
                <w:tab w:val="left" w:pos="0"/>
              </w:tabs>
              <w:jc w:val="center"/>
              <w:rPr>
                <w:b/>
                <w:bCs/>
                <w:sz w:val="16"/>
                <w:szCs w:val="16"/>
              </w:rPr>
            </w:pPr>
            <w:r w:rsidRPr="00B34608">
              <w:rPr>
                <w:b/>
                <w:bCs/>
                <w:sz w:val="16"/>
                <w:szCs w:val="16"/>
              </w:rPr>
              <w:t>17.</w:t>
            </w:r>
          </w:p>
          <w:p w:rsidR="00D2569B" w:rsidRPr="00B34608" w:rsidRDefault="00D2569B" w:rsidP="00F10B76">
            <w:pPr>
              <w:tabs>
                <w:tab w:val="left" w:pos="0"/>
              </w:tabs>
              <w:jc w:val="center"/>
              <w:rPr>
                <w:b/>
                <w:bCs/>
                <w:sz w:val="16"/>
                <w:szCs w:val="16"/>
              </w:rPr>
            </w:pPr>
          </w:p>
          <w:p w:rsidR="00D2569B" w:rsidRPr="00B34608" w:rsidRDefault="00D2569B" w:rsidP="00F10B76">
            <w:pPr>
              <w:tabs>
                <w:tab w:val="left" w:pos="0"/>
              </w:tabs>
              <w:jc w:val="center"/>
              <w:rPr>
                <w:b/>
                <w:bCs/>
                <w:sz w:val="16"/>
                <w:szCs w:val="16"/>
              </w:rPr>
            </w:pPr>
          </w:p>
        </w:tc>
        <w:tc>
          <w:tcPr>
            <w:tcW w:w="2302"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345038">
            <w:pPr>
              <w:tabs>
                <w:tab w:val="left" w:pos="0"/>
              </w:tabs>
              <w:rPr>
                <w:b/>
                <w:bCs/>
                <w:sz w:val="16"/>
                <w:szCs w:val="16"/>
              </w:rPr>
            </w:pPr>
            <w:r>
              <w:rPr>
                <w:b/>
                <w:bCs/>
                <w:sz w:val="16"/>
                <w:szCs w:val="16"/>
              </w:rPr>
              <w:t>Balance as at 31 December</w:t>
            </w:r>
            <w:r w:rsidRPr="00B34608">
              <w:rPr>
                <w:b/>
                <w:bCs/>
                <w:sz w:val="16"/>
                <w:szCs w:val="16"/>
              </w:rPr>
              <w:t xml:space="preserve"> 201</w:t>
            </w:r>
            <w:r>
              <w:rPr>
                <w:b/>
                <w:bCs/>
                <w:sz w:val="16"/>
                <w:szCs w:val="16"/>
              </w:rPr>
              <w:t>7</w:t>
            </w:r>
          </w:p>
        </w:tc>
        <w:tc>
          <w:tcPr>
            <w:tcW w:w="674" w:type="dxa"/>
            <w:gridSpan w:val="2"/>
            <w:tcBorders>
              <w:top w:val="single" w:sz="4" w:space="0" w:color="auto"/>
              <w:left w:val="single" w:sz="4" w:space="0" w:color="auto"/>
              <w:bottom w:val="single" w:sz="4" w:space="0" w:color="auto"/>
              <w:right w:val="single" w:sz="4" w:space="0" w:color="auto"/>
            </w:tcBorders>
          </w:tcPr>
          <w:p w:rsidR="00D2569B" w:rsidRPr="00B34608" w:rsidRDefault="00D2569B" w:rsidP="00345038">
            <w:pPr>
              <w:tabs>
                <w:tab w:val="left" w:pos="0"/>
              </w:tabs>
              <w:rPr>
                <w:b/>
                <w:bCs/>
                <w:sz w:val="16"/>
                <w:szCs w:val="16"/>
              </w:rPr>
            </w:pPr>
            <w:r w:rsidRPr="00B34608">
              <w:rPr>
                <w:b/>
                <w:bCs/>
                <w:sz w:val="16"/>
                <w:szCs w:val="16"/>
              </w:rPr>
              <w:t> </w:t>
            </w:r>
          </w:p>
        </w:tc>
        <w:tc>
          <w:tcPr>
            <w:tcW w:w="1168"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345038">
            <w:pPr>
              <w:tabs>
                <w:tab w:val="left" w:pos="0"/>
              </w:tabs>
              <w:jc w:val="center"/>
              <w:rPr>
                <w:b/>
                <w:bCs/>
                <w:sz w:val="16"/>
                <w:szCs w:val="16"/>
              </w:rPr>
            </w:pPr>
            <w:r w:rsidRPr="00B34608">
              <w:rPr>
                <w:b/>
                <w:bCs/>
                <w:sz w:val="16"/>
                <w:szCs w:val="16"/>
              </w:rPr>
              <w:t>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69B" w:rsidRPr="00B34608" w:rsidRDefault="00D2569B" w:rsidP="00345038">
            <w:pPr>
              <w:tabs>
                <w:tab w:val="left" w:pos="0"/>
              </w:tabs>
              <w:jc w:val="center"/>
              <w:rPr>
                <w:b/>
                <w:bCs/>
                <w:sz w:val="16"/>
                <w:szCs w:val="16"/>
              </w:rPr>
            </w:pPr>
            <w:r w:rsidRPr="00B34608">
              <w:rPr>
                <w:b/>
                <w:bCs/>
                <w:sz w:val="16"/>
                <w:szCs w:val="16"/>
              </w:rPr>
              <w:t> </w:t>
            </w:r>
          </w:p>
        </w:tc>
        <w:tc>
          <w:tcPr>
            <w:tcW w:w="709"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345038">
            <w:pPr>
              <w:tabs>
                <w:tab w:val="left" w:pos="0"/>
              </w:tabs>
              <w:jc w:val="center"/>
              <w:rPr>
                <w:b/>
                <w:bCs/>
                <w:sz w:val="16"/>
                <w:szCs w:val="16"/>
              </w:rPr>
            </w:pPr>
            <w:r w:rsidRPr="00B34608">
              <w:rPr>
                <w:b/>
                <w:bCs/>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345038">
            <w:pPr>
              <w:tabs>
                <w:tab w:val="left" w:pos="0"/>
              </w:tabs>
              <w:jc w:val="center"/>
              <w:rPr>
                <w:b/>
                <w:bCs/>
                <w:sz w:val="16"/>
                <w:szCs w:val="16"/>
              </w:rPr>
            </w:pPr>
            <w:r w:rsidRPr="00B34608">
              <w:rPr>
                <w:b/>
                <w:bCs/>
                <w:sz w:val="16"/>
                <w:szCs w:val="16"/>
              </w:rPr>
              <w:t> </w:t>
            </w:r>
          </w:p>
        </w:tc>
        <w:tc>
          <w:tcPr>
            <w:tcW w:w="1311" w:type="dxa"/>
            <w:tcBorders>
              <w:top w:val="single" w:sz="4" w:space="0" w:color="auto"/>
              <w:left w:val="single" w:sz="4" w:space="0" w:color="auto"/>
              <w:bottom w:val="single" w:sz="4" w:space="0" w:color="auto"/>
              <w:right w:val="single" w:sz="4" w:space="0" w:color="auto"/>
            </w:tcBorders>
          </w:tcPr>
          <w:p w:rsidR="00D2569B" w:rsidRPr="00B34608" w:rsidRDefault="00D2569B" w:rsidP="006C4DBD">
            <w:pPr>
              <w:tabs>
                <w:tab w:val="left" w:pos="0"/>
              </w:tabs>
              <w:jc w:val="right"/>
              <w:rPr>
                <w:b/>
                <w:bCs/>
                <w:sz w:val="16"/>
                <w:szCs w:val="16"/>
              </w:rPr>
            </w:pPr>
          </w:p>
          <w:p w:rsidR="00D2569B" w:rsidRPr="00B34608" w:rsidRDefault="00D2569B" w:rsidP="006C4DBD">
            <w:pPr>
              <w:tabs>
                <w:tab w:val="left" w:pos="0"/>
              </w:tabs>
              <w:jc w:val="right"/>
              <w:rPr>
                <w:b/>
                <w:bCs/>
                <w:sz w:val="16"/>
                <w:szCs w:val="16"/>
              </w:rPr>
            </w:pPr>
            <w:r w:rsidRPr="00B34608">
              <w:rPr>
                <w:b/>
                <w:bCs/>
                <w:sz w:val="16"/>
                <w:szCs w:val="16"/>
              </w:rPr>
              <w:t>228</w:t>
            </w:r>
            <w:r>
              <w:rPr>
                <w:b/>
                <w:bCs/>
                <w:sz w:val="16"/>
                <w:szCs w:val="16"/>
              </w:rPr>
              <w:t>,</w:t>
            </w:r>
            <w:r w:rsidRPr="00B34608">
              <w:rPr>
                <w:b/>
                <w:bCs/>
                <w:sz w:val="16"/>
                <w:szCs w:val="16"/>
              </w:rPr>
              <w:t>325</w:t>
            </w:r>
            <w:r>
              <w:rPr>
                <w:b/>
                <w:bCs/>
                <w:sz w:val="16"/>
                <w:szCs w:val="16"/>
              </w:rPr>
              <w:t>,</w:t>
            </w:r>
            <w:r w:rsidRPr="00B34608">
              <w:rPr>
                <w:b/>
                <w:bCs/>
                <w:sz w:val="16"/>
                <w:szCs w:val="16"/>
              </w:rPr>
              <w:t>924</w:t>
            </w:r>
          </w:p>
        </w:tc>
        <w:tc>
          <w:tcPr>
            <w:tcW w:w="1134" w:type="dxa"/>
            <w:tcBorders>
              <w:top w:val="single" w:sz="4" w:space="0" w:color="auto"/>
              <w:left w:val="single" w:sz="4" w:space="0" w:color="auto"/>
              <w:bottom w:val="single" w:sz="4" w:space="0" w:color="auto"/>
              <w:right w:val="single" w:sz="4" w:space="0" w:color="auto"/>
            </w:tcBorders>
            <w:noWrap/>
          </w:tcPr>
          <w:p w:rsidR="00D2569B" w:rsidRPr="00B34608" w:rsidRDefault="00D2569B" w:rsidP="006C4DBD">
            <w:pPr>
              <w:tabs>
                <w:tab w:val="left" w:pos="0"/>
              </w:tabs>
              <w:jc w:val="right"/>
              <w:rPr>
                <w:b/>
                <w:bCs/>
                <w:sz w:val="16"/>
                <w:szCs w:val="16"/>
              </w:rPr>
            </w:pPr>
          </w:p>
          <w:p w:rsidR="00D2569B" w:rsidRPr="00B34608" w:rsidRDefault="00D2569B" w:rsidP="006C4DBD">
            <w:pPr>
              <w:tabs>
                <w:tab w:val="left" w:pos="0"/>
              </w:tabs>
              <w:jc w:val="right"/>
              <w:rPr>
                <w:b/>
                <w:sz w:val="16"/>
                <w:szCs w:val="16"/>
              </w:rPr>
            </w:pPr>
            <w:r w:rsidRPr="00B34608">
              <w:rPr>
                <w:b/>
                <w:sz w:val="16"/>
                <w:szCs w:val="16"/>
              </w:rPr>
              <w:t>228</w:t>
            </w:r>
            <w:r>
              <w:rPr>
                <w:b/>
                <w:sz w:val="16"/>
                <w:szCs w:val="16"/>
              </w:rPr>
              <w:t>,</w:t>
            </w:r>
            <w:r w:rsidRPr="00B34608">
              <w:rPr>
                <w:b/>
                <w:sz w:val="16"/>
                <w:szCs w:val="16"/>
              </w:rPr>
              <w:t>325</w:t>
            </w:r>
            <w:r>
              <w:rPr>
                <w:b/>
                <w:sz w:val="16"/>
                <w:szCs w:val="16"/>
              </w:rPr>
              <w:t>,</w:t>
            </w:r>
            <w:r w:rsidRPr="00B34608">
              <w:rPr>
                <w:b/>
                <w:sz w:val="16"/>
                <w:szCs w:val="16"/>
              </w:rPr>
              <w:t>924</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D2569B" w:rsidRPr="00B34608" w:rsidRDefault="00D2569B" w:rsidP="00345038">
            <w:pPr>
              <w:tabs>
                <w:tab w:val="left" w:pos="0"/>
              </w:tabs>
              <w:jc w:val="center"/>
              <w:rPr>
                <w:b/>
                <w:bCs/>
                <w:sz w:val="16"/>
                <w:szCs w:val="16"/>
              </w:rPr>
            </w:pPr>
            <w:r w:rsidRPr="00B34608">
              <w:rPr>
                <w:b/>
                <w:bCs/>
                <w:sz w:val="16"/>
                <w:szCs w:val="16"/>
              </w:rPr>
              <w:t> </w:t>
            </w:r>
          </w:p>
        </w:tc>
      </w:tr>
    </w:tbl>
    <w:p w:rsidR="00D2569B" w:rsidRPr="00B34608" w:rsidRDefault="00D2569B" w:rsidP="00C314FE">
      <w:pPr>
        <w:tabs>
          <w:tab w:val="left" w:pos="0"/>
        </w:tabs>
        <w:jc w:val="both"/>
        <w:rPr>
          <w:szCs w:val="22"/>
        </w:rPr>
      </w:pPr>
    </w:p>
    <w:p w:rsidR="00D2569B" w:rsidRPr="00B34608" w:rsidRDefault="00D2569B" w:rsidP="00C314FE">
      <w:pPr>
        <w:tabs>
          <w:tab w:val="left" w:pos="0"/>
        </w:tabs>
        <w:jc w:val="both"/>
        <w:rPr>
          <w:szCs w:val="22"/>
        </w:rPr>
      </w:pPr>
    </w:p>
    <w:p w:rsidR="00D2569B" w:rsidRPr="00B34608" w:rsidRDefault="00D2569B" w:rsidP="00C314FE">
      <w:pPr>
        <w:tabs>
          <w:tab w:val="left" w:pos="0"/>
        </w:tabs>
        <w:jc w:val="both"/>
        <w:rPr>
          <w:szCs w:val="22"/>
        </w:rPr>
      </w:pPr>
    </w:p>
    <w:p w:rsidR="00D2569B" w:rsidRPr="00B34608" w:rsidRDefault="00D2569B" w:rsidP="00C314FE">
      <w:pPr>
        <w:tabs>
          <w:tab w:val="left" w:pos="0"/>
        </w:tabs>
        <w:jc w:val="both"/>
        <w:rPr>
          <w:sz w:val="14"/>
          <w:szCs w:val="16"/>
        </w:rPr>
      </w:pPr>
      <w:r w:rsidRPr="00F33D93">
        <w:rPr>
          <w:szCs w:val="22"/>
        </w:rPr>
        <w:t>Dire</w:t>
      </w:r>
      <w:r>
        <w:rPr>
          <w:szCs w:val="22"/>
        </w:rPr>
        <w:t xml:space="preserve">ctor </w:t>
      </w:r>
      <w:r>
        <w:rPr>
          <w:szCs w:val="22"/>
        </w:rPr>
        <w:tab/>
      </w:r>
      <w:r w:rsidRPr="00B34608">
        <w:rPr>
          <w:szCs w:val="22"/>
        </w:rPr>
        <w:t xml:space="preserve">  </w:t>
      </w:r>
      <w:r w:rsidRPr="00B34608">
        <w:rPr>
          <w:sz w:val="20"/>
          <w:szCs w:val="22"/>
        </w:rPr>
        <w:t xml:space="preserve">               </w:t>
      </w:r>
      <w:r w:rsidRPr="00B34608">
        <w:rPr>
          <w:sz w:val="20"/>
          <w:szCs w:val="22"/>
        </w:rPr>
        <w:tab/>
      </w:r>
      <w:r w:rsidRPr="00B34608">
        <w:rPr>
          <w:sz w:val="20"/>
          <w:szCs w:val="22"/>
        </w:rPr>
        <w:tab/>
      </w:r>
      <w:r w:rsidRPr="00B34608">
        <w:rPr>
          <w:sz w:val="20"/>
          <w:szCs w:val="22"/>
        </w:rPr>
        <w:tab/>
      </w:r>
      <w:r w:rsidRPr="00B34608">
        <w:rPr>
          <w:sz w:val="20"/>
          <w:szCs w:val="22"/>
        </w:rPr>
        <w:tab/>
      </w:r>
      <w:r w:rsidRPr="00B34608">
        <w:rPr>
          <w:sz w:val="20"/>
          <w:szCs w:val="22"/>
        </w:rPr>
        <w:tab/>
      </w:r>
      <w:r w:rsidRPr="00B34608">
        <w:rPr>
          <w:sz w:val="20"/>
          <w:szCs w:val="22"/>
        </w:rPr>
        <w:tab/>
      </w:r>
      <w:r w:rsidRPr="00B34608">
        <w:rPr>
          <w:sz w:val="20"/>
          <w:szCs w:val="22"/>
        </w:rPr>
        <w:tab/>
        <w:t xml:space="preserve">            </w:t>
      </w:r>
      <w:r w:rsidRPr="00B34608">
        <w:rPr>
          <w:szCs w:val="22"/>
        </w:rPr>
        <w:t>Aurelija Mažintienė</w:t>
      </w:r>
      <w:r w:rsidRPr="00B34608">
        <w:rPr>
          <w:sz w:val="14"/>
          <w:szCs w:val="16"/>
        </w:rPr>
        <w:t xml:space="preserve"> </w:t>
      </w:r>
    </w:p>
    <w:p w:rsidR="00D2569B" w:rsidRPr="00B34608" w:rsidRDefault="00D2569B" w:rsidP="00C314FE">
      <w:pPr>
        <w:tabs>
          <w:tab w:val="left" w:pos="0"/>
        </w:tabs>
        <w:jc w:val="both"/>
        <w:rPr>
          <w:sz w:val="14"/>
          <w:szCs w:val="16"/>
        </w:rPr>
      </w:pPr>
    </w:p>
    <w:p w:rsidR="00D2569B" w:rsidRPr="00B34608" w:rsidRDefault="00D2569B" w:rsidP="00C314FE">
      <w:pPr>
        <w:tabs>
          <w:tab w:val="left" w:pos="0"/>
        </w:tabs>
        <w:jc w:val="both"/>
        <w:rPr>
          <w:sz w:val="14"/>
          <w:szCs w:val="16"/>
        </w:rPr>
      </w:pPr>
      <w:r w:rsidRPr="00B34608">
        <w:rPr>
          <w:sz w:val="14"/>
          <w:szCs w:val="16"/>
        </w:rPr>
        <w:t xml:space="preserve"> </w:t>
      </w:r>
    </w:p>
    <w:p w:rsidR="00D2569B" w:rsidRPr="00B34608" w:rsidRDefault="00D2569B" w:rsidP="00C314FE">
      <w:pPr>
        <w:tabs>
          <w:tab w:val="left" w:pos="0"/>
        </w:tabs>
        <w:jc w:val="both"/>
        <w:rPr>
          <w:sz w:val="14"/>
          <w:szCs w:val="16"/>
        </w:rPr>
      </w:pPr>
    </w:p>
    <w:p w:rsidR="00D2569B" w:rsidRPr="00B34608" w:rsidRDefault="00D2569B" w:rsidP="00D42BFA">
      <w:pPr>
        <w:tabs>
          <w:tab w:val="left" w:pos="0"/>
        </w:tabs>
        <w:ind w:left="-284" w:firstLine="284"/>
        <w:jc w:val="both"/>
        <w:rPr>
          <w:sz w:val="14"/>
          <w:szCs w:val="16"/>
        </w:rPr>
      </w:pPr>
      <w:r>
        <w:rPr>
          <w:szCs w:val="22"/>
        </w:rPr>
        <w:t>Acting Chief Accountant</w:t>
      </w:r>
      <w:r w:rsidRPr="00B34608">
        <w:rPr>
          <w:szCs w:val="22"/>
        </w:rPr>
        <w:tab/>
      </w:r>
      <w:r w:rsidRPr="00B34608">
        <w:rPr>
          <w:sz w:val="20"/>
          <w:szCs w:val="22"/>
        </w:rPr>
        <w:tab/>
      </w:r>
      <w:r w:rsidRPr="00B34608">
        <w:rPr>
          <w:sz w:val="20"/>
          <w:szCs w:val="22"/>
        </w:rPr>
        <w:tab/>
      </w:r>
      <w:r w:rsidRPr="00B34608">
        <w:rPr>
          <w:sz w:val="20"/>
          <w:szCs w:val="22"/>
        </w:rPr>
        <w:tab/>
      </w:r>
      <w:r w:rsidRPr="00B34608">
        <w:rPr>
          <w:sz w:val="20"/>
          <w:szCs w:val="22"/>
        </w:rPr>
        <w:tab/>
      </w:r>
      <w:r w:rsidRPr="00B34608">
        <w:rPr>
          <w:sz w:val="20"/>
          <w:szCs w:val="22"/>
        </w:rPr>
        <w:tab/>
        <w:t xml:space="preserve">             </w:t>
      </w:r>
      <w:r w:rsidRPr="00B34608">
        <w:rPr>
          <w:szCs w:val="22"/>
        </w:rPr>
        <w:t>Laima Tankevičiūtė</w:t>
      </w:r>
      <w:r w:rsidRPr="00B34608">
        <w:rPr>
          <w:sz w:val="14"/>
          <w:szCs w:val="16"/>
        </w:rPr>
        <w:t xml:space="preserve">                     </w:t>
      </w:r>
    </w:p>
    <w:p w:rsidR="00D2569B" w:rsidRPr="00B34608" w:rsidRDefault="00D2569B" w:rsidP="00FE196C">
      <w:pPr>
        <w:pStyle w:val="Pagrindinistekstas2"/>
        <w:framePr w:w="10071" w:wrap="auto" w:hAnchor="text" w:x="1276"/>
        <w:spacing w:before="360"/>
        <w:rPr>
          <w:sz w:val="16"/>
        </w:rPr>
        <w:sectPr w:rsidR="00D2569B" w:rsidRPr="00B34608" w:rsidSect="00B26CD3">
          <w:headerReference w:type="even" r:id="rId13"/>
          <w:headerReference w:type="default" r:id="rId14"/>
          <w:footerReference w:type="default" r:id="rId15"/>
          <w:headerReference w:type="first" r:id="rId16"/>
          <w:pgSz w:w="11907" w:h="16840" w:code="9"/>
          <w:pgMar w:top="-109" w:right="567" w:bottom="1134" w:left="1701" w:header="1020" w:footer="454" w:gutter="454"/>
          <w:cols w:space="737"/>
          <w:docGrid w:linePitch="299"/>
        </w:sectPr>
      </w:pPr>
      <w:bookmarkStart w:id="8" w:name="_Toc105398449"/>
      <w:bookmarkEnd w:id="5"/>
      <w:bookmarkEnd w:id="6"/>
      <w:bookmarkEnd w:id="7"/>
    </w:p>
    <w:p w:rsidR="00D2569B" w:rsidRPr="00B34608" w:rsidRDefault="00D2569B" w:rsidP="007D45AC">
      <w:pPr>
        <w:spacing w:line="360" w:lineRule="auto"/>
        <w:jc w:val="center"/>
        <w:rPr>
          <w:i/>
          <w:sz w:val="20"/>
        </w:rPr>
      </w:pPr>
      <w:bookmarkStart w:id="9" w:name="_Toc441322995"/>
      <w:bookmarkStart w:id="10" w:name="_Toc441324018"/>
      <w:r w:rsidRPr="00B34608">
        <w:rPr>
          <w:b/>
          <w:sz w:val="24"/>
          <w:szCs w:val="24"/>
        </w:rPr>
        <w:lastRenderedPageBreak/>
        <w:t xml:space="preserve">                                                                                    </w:t>
      </w:r>
    </w:p>
    <w:p w:rsidR="00D2569B" w:rsidRPr="00B34608" w:rsidRDefault="00D2569B" w:rsidP="007D45AC">
      <w:pPr>
        <w:spacing w:line="360" w:lineRule="auto"/>
        <w:jc w:val="center"/>
        <w:rPr>
          <w:b/>
          <w:sz w:val="24"/>
          <w:szCs w:val="24"/>
        </w:rPr>
      </w:pPr>
      <w:r>
        <w:rPr>
          <w:b/>
          <w:sz w:val="24"/>
          <w:szCs w:val="24"/>
        </w:rPr>
        <w:t>DEPOSIT INSURANCE FUND</w:t>
      </w:r>
    </w:p>
    <w:p w:rsidR="00D2569B" w:rsidRPr="00B34608" w:rsidRDefault="00D2569B" w:rsidP="00F55C6D">
      <w:pPr>
        <w:spacing w:line="276" w:lineRule="auto"/>
        <w:jc w:val="center"/>
        <w:rPr>
          <w:szCs w:val="22"/>
        </w:rPr>
      </w:pPr>
      <w:r w:rsidRPr="00B34608">
        <w:rPr>
          <w:szCs w:val="22"/>
        </w:rPr>
        <w:t>Administrator</w:t>
      </w:r>
      <w:r>
        <w:rPr>
          <w:szCs w:val="22"/>
        </w:rPr>
        <w:t xml:space="preserve"> –</w:t>
      </w:r>
      <w:r w:rsidRPr="00B34608">
        <w:rPr>
          <w:szCs w:val="22"/>
        </w:rPr>
        <w:t xml:space="preserve"> </w:t>
      </w:r>
      <w:r w:rsidRPr="004B39D2">
        <w:rPr>
          <w:bCs/>
          <w:szCs w:val="22"/>
        </w:rPr>
        <w:t xml:space="preserve">SC </w:t>
      </w:r>
      <w:r w:rsidR="00131887" w:rsidRPr="00131887">
        <w:t>„</w:t>
      </w:r>
      <w:r w:rsidRPr="004B39D2">
        <w:rPr>
          <w:bCs/>
          <w:szCs w:val="22"/>
        </w:rPr>
        <w:t>Indėlių ir investicijų draudimas</w:t>
      </w:r>
      <w:r w:rsidR="00131887">
        <w:rPr>
          <w:bCs/>
          <w:szCs w:val="22"/>
        </w:rPr>
        <w:t>”</w:t>
      </w:r>
      <w:r>
        <w:rPr>
          <w:szCs w:val="22"/>
        </w:rPr>
        <w:t>, corporate code</w:t>
      </w:r>
      <w:r w:rsidRPr="00B34608">
        <w:rPr>
          <w:szCs w:val="22"/>
        </w:rPr>
        <w:t xml:space="preserve"> 110069451</w:t>
      </w:r>
    </w:p>
    <w:p w:rsidR="00D2569B" w:rsidRPr="00B34608" w:rsidRDefault="00D2569B" w:rsidP="00F55C6D">
      <w:pPr>
        <w:spacing w:line="276" w:lineRule="auto"/>
        <w:jc w:val="center"/>
        <w:rPr>
          <w:szCs w:val="22"/>
        </w:rPr>
      </w:pPr>
      <w:proofErr w:type="spellStart"/>
      <w:r w:rsidRPr="00B34608">
        <w:rPr>
          <w:szCs w:val="22"/>
        </w:rPr>
        <w:t>Alg</w:t>
      </w:r>
      <w:r>
        <w:rPr>
          <w:szCs w:val="22"/>
        </w:rPr>
        <w:t>irdo</w:t>
      </w:r>
      <w:proofErr w:type="spellEnd"/>
      <w:r>
        <w:rPr>
          <w:szCs w:val="22"/>
        </w:rPr>
        <w:t xml:space="preserve"> g. 31, LT-03219 Vilnius, data collected and stored in the Register of Legal Entities</w:t>
      </w:r>
    </w:p>
    <w:p w:rsidR="00D2569B" w:rsidRPr="00B34608" w:rsidRDefault="00D2569B" w:rsidP="007D45AC">
      <w:pPr>
        <w:spacing w:line="276" w:lineRule="auto"/>
        <w:jc w:val="center"/>
        <w:rPr>
          <w:szCs w:val="22"/>
        </w:rPr>
      </w:pPr>
    </w:p>
    <w:p w:rsidR="00D2569B" w:rsidRPr="00B34608" w:rsidRDefault="00D2569B" w:rsidP="007D45AC">
      <w:pPr>
        <w:pStyle w:val="Antrat7"/>
        <w:spacing w:line="360" w:lineRule="auto"/>
        <w:jc w:val="center"/>
        <w:rPr>
          <w:b/>
        </w:rPr>
      </w:pPr>
      <w:r>
        <w:rPr>
          <w:b/>
        </w:rPr>
        <w:t>CASH FLOW STATEMENT</w:t>
      </w:r>
    </w:p>
    <w:p w:rsidR="00D2569B" w:rsidRPr="00B34608" w:rsidRDefault="00D2569B" w:rsidP="007D45AC">
      <w:pPr>
        <w:pStyle w:val="Antrat7"/>
        <w:spacing w:line="360" w:lineRule="auto"/>
        <w:jc w:val="center"/>
        <w:rPr>
          <w:b/>
        </w:rPr>
      </w:pPr>
      <w:r>
        <w:rPr>
          <w:b/>
        </w:rPr>
        <w:t>31 DECEMBER 2017</w:t>
      </w:r>
      <w:bookmarkEnd w:id="8"/>
      <w:bookmarkEnd w:id="9"/>
      <w:bookmarkEnd w:id="10"/>
    </w:p>
    <w:tbl>
      <w:tblPr>
        <w:tblpPr w:leftFromText="180" w:rightFromText="180" w:vertAnchor="text" w:tblpY="1"/>
        <w:tblOverlap w:val="never"/>
        <w:tblW w:w="9873" w:type="dxa"/>
        <w:tblLayout w:type="fixed"/>
        <w:tblLook w:val="00A0" w:firstRow="1" w:lastRow="0" w:firstColumn="1" w:lastColumn="0" w:noHBand="0" w:noVBand="0"/>
      </w:tblPr>
      <w:tblGrid>
        <w:gridCol w:w="9873"/>
      </w:tblGrid>
      <w:tr w:rsidR="00D2569B" w:rsidRPr="00B34608" w:rsidTr="00DC6F30">
        <w:trPr>
          <w:trHeight w:val="255"/>
        </w:trPr>
        <w:tc>
          <w:tcPr>
            <w:tcW w:w="9873" w:type="dxa"/>
            <w:tcBorders>
              <w:top w:val="nil"/>
              <w:left w:val="nil"/>
              <w:bottom w:val="nil"/>
              <w:right w:val="nil"/>
            </w:tcBorders>
            <w:shd w:val="clear" w:color="000000" w:fill="FFFFFF"/>
            <w:vAlign w:val="bottom"/>
          </w:tcPr>
          <w:p w:rsidR="00D2569B" w:rsidRPr="00B34608" w:rsidRDefault="00D2569B" w:rsidP="00B20C8F">
            <w:pPr>
              <w:tabs>
                <w:tab w:val="left" w:pos="0"/>
              </w:tabs>
              <w:jc w:val="center"/>
              <w:rPr>
                <w:szCs w:val="22"/>
              </w:rPr>
            </w:pPr>
            <w:r>
              <w:rPr>
                <w:szCs w:val="22"/>
              </w:rPr>
              <w:t xml:space="preserve">29 January </w:t>
            </w:r>
            <w:r w:rsidRPr="00B34608">
              <w:rPr>
                <w:szCs w:val="22"/>
              </w:rPr>
              <w:t xml:space="preserve">2018 </w:t>
            </w:r>
          </w:p>
          <w:p w:rsidR="00D2569B" w:rsidRPr="00B34608" w:rsidRDefault="00D2569B" w:rsidP="00B20C8F">
            <w:pPr>
              <w:tabs>
                <w:tab w:val="left" w:pos="0"/>
              </w:tabs>
              <w:jc w:val="center"/>
              <w:rPr>
                <w:szCs w:val="22"/>
              </w:rPr>
            </w:pPr>
          </w:p>
        </w:tc>
      </w:tr>
    </w:tbl>
    <w:p w:rsidR="00D2569B" w:rsidRPr="00B34608" w:rsidRDefault="00D2569B" w:rsidP="00DC37A9">
      <w:pPr>
        <w:pStyle w:val="Pagrindinistekstas"/>
        <w:spacing w:after="0"/>
      </w:pPr>
      <w:r w:rsidRPr="00B34608">
        <w:rPr>
          <w:i/>
        </w:rPr>
        <w:t xml:space="preserve">  2017 </w:t>
      </w:r>
      <w:r w:rsidRPr="00B34608">
        <w:t xml:space="preserve">                                                                                              </w:t>
      </w:r>
      <w:r>
        <w:rPr>
          <w:i/>
          <w:iCs/>
          <w:sz w:val="20"/>
        </w:rPr>
        <w:t>Presentation currency and accuracy: EUR</w:t>
      </w:r>
      <w:r w:rsidRPr="00B34608">
        <w:rPr>
          <w:i/>
          <w:iCs/>
          <w:sz w:val="20"/>
        </w:rPr>
        <w:t xml:space="preserve"> </w:t>
      </w:r>
      <w:r w:rsidRPr="00B34608">
        <w:t xml:space="preserve">                       </w:t>
      </w:r>
    </w:p>
    <w:tbl>
      <w:tblPr>
        <w:tblW w:w="103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851"/>
        <w:gridCol w:w="5667"/>
        <w:gridCol w:w="851"/>
        <w:gridCol w:w="1420"/>
        <w:gridCol w:w="1559"/>
      </w:tblGrid>
      <w:tr w:rsidR="00D2569B" w:rsidRPr="00B34608" w:rsidTr="00F55C6D">
        <w:trPr>
          <w:trHeight w:val="400"/>
        </w:trPr>
        <w:tc>
          <w:tcPr>
            <w:tcW w:w="851" w:type="dxa"/>
            <w:vAlign w:val="center"/>
          </w:tcPr>
          <w:p w:rsidR="00D2569B" w:rsidRPr="00F55C6D" w:rsidRDefault="00D2569B" w:rsidP="00F55C6D">
            <w:pPr>
              <w:spacing w:line="276" w:lineRule="auto"/>
              <w:jc w:val="center"/>
              <w:rPr>
                <w:bCs/>
                <w:sz w:val="20"/>
              </w:rPr>
            </w:pPr>
            <w:r w:rsidRPr="00F55C6D">
              <w:rPr>
                <w:bCs/>
                <w:sz w:val="20"/>
              </w:rPr>
              <w:t>Seq. No</w:t>
            </w:r>
          </w:p>
        </w:tc>
        <w:tc>
          <w:tcPr>
            <w:tcW w:w="5667" w:type="dxa"/>
            <w:vAlign w:val="center"/>
          </w:tcPr>
          <w:p w:rsidR="00D2569B" w:rsidRPr="00F55C6D" w:rsidRDefault="00D2569B" w:rsidP="00F55C6D">
            <w:pPr>
              <w:spacing w:line="276" w:lineRule="auto"/>
              <w:jc w:val="center"/>
              <w:rPr>
                <w:bCs/>
                <w:sz w:val="20"/>
              </w:rPr>
            </w:pPr>
            <w:r w:rsidRPr="00F55C6D">
              <w:rPr>
                <w:bCs/>
                <w:sz w:val="20"/>
              </w:rPr>
              <w:t>Items</w:t>
            </w:r>
          </w:p>
        </w:tc>
        <w:tc>
          <w:tcPr>
            <w:tcW w:w="851" w:type="dxa"/>
            <w:vAlign w:val="center"/>
          </w:tcPr>
          <w:p w:rsidR="00D2569B" w:rsidRPr="00F55C6D" w:rsidRDefault="00D2569B" w:rsidP="00F55C6D">
            <w:pPr>
              <w:spacing w:line="276" w:lineRule="auto"/>
              <w:jc w:val="center"/>
              <w:rPr>
                <w:bCs/>
                <w:sz w:val="20"/>
              </w:rPr>
            </w:pPr>
            <w:r w:rsidRPr="00F55C6D">
              <w:rPr>
                <w:bCs/>
                <w:sz w:val="20"/>
              </w:rPr>
              <w:t>Note No</w:t>
            </w:r>
          </w:p>
        </w:tc>
        <w:tc>
          <w:tcPr>
            <w:tcW w:w="1420" w:type="dxa"/>
            <w:vAlign w:val="center"/>
          </w:tcPr>
          <w:p w:rsidR="00D2569B" w:rsidRPr="00F55C6D" w:rsidRDefault="00D2569B" w:rsidP="00F55C6D">
            <w:pPr>
              <w:spacing w:line="276" w:lineRule="auto"/>
              <w:jc w:val="center"/>
              <w:rPr>
                <w:bCs/>
                <w:sz w:val="20"/>
              </w:rPr>
            </w:pPr>
            <w:r w:rsidRPr="00F55C6D">
              <w:rPr>
                <w:bCs/>
                <w:sz w:val="20"/>
              </w:rPr>
              <w:t>31 12 2017</w:t>
            </w:r>
          </w:p>
        </w:tc>
        <w:tc>
          <w:tcPr>
            <w:tcW w:w="1559" w:type="dxa"/>
            <w:vAlign w:val="center"/>
          </w:tcPr>
          <w:p w:rsidR="00D2569B" w:rsidRPr="00F55C6D" w:rsidRDefault="00D2569B" w:rsidP="00F55C6D">
            <w:pPr>
              <w:spacing w:line="276" w:lineRule="auto"/>
              <w:jc w:val="center"/>
              <w:rPr>
                <w:bCs/>
                <w:sz w:val="20"/>
              </w:rPr>
            </w:pPr>
            <w:r w:rsidRPr="00F55C6D">
              <w:rPr>
                <w:bCs/>
                <w:sz w:val="20"/>
              </w:rPr>
              <w:t>31 12 2016</w:t>
            </w:r>
          </w:p>
        </w:tc>
      </w:tr>
      <w:tr w:rsidR="00D2569B" w:rsidRPr="00B34608" w:rsidTr="008907A4">
        <w:tc>
          <w:tcPr>
            <w:tcW w:w="851" w:type="dxa"/>
          </w:tcPr>
          <w:p w:rsidR="00D2569B" w:rsidRPr="00B34608" w:rsidRDefault="00D2569B" w:rsidP="000E148A">
            <w:pPr>
              <w:jc w:val="center"/>
              <w:rPr>
                <w:sz w:val="18"/>
                <w:szCs w:val="18"/>
              </w:rPr>
            </w:pPr>
            <w:r w:rsidRPr="00B34608">
              <w:rPr>
                <w:sz w:val="18"/>
                <w:szCs w:val="18"/>
              </w:rPr>
              <w:t>1</w:t>
            </w:r>
          </w:p>
        </w:tc>
        <w:tc>
          <w:tcPr>
            <w:tcW w:w="5667" w:type="dxa"/>
          </w:tcPr>
          <w:p w:rsidR="00D2569B" w:rsidRPr="00B34608" w:rsidRDefault="00D2569B" w:rsidP="000E148A">
            <w:pPr>
              <w:jc w:val="center"/>
              <w:rPr>
                <w:sz w:val="18"/>
                <w:szCs w:val="18"/>
              </w:rPr>
            </w:pPr>
            <w:r w:rsidRPr="00B34608">
              <w:rPr>
                <w:sz w:val="18"/>
                <w:szCs w:val="18"/>
              </w:rPr>
              <w:t>2</w:t>
            </w:r>
          </w:p>
        </w:tc>
        <w:tc>
          <w:tcPr>
            <w:tcW w:w="851" w:type="dxa"/>
            <w:vAlign w:val="bottom"/>
          </w:tcPr>
          <w:p w:rsidR="00D2569B" w:rsidRPr="00B34608" w:rsidRDefault="00D2569B" w:rsidP="00C52556">
            <w:pPr>
              <w:pStyle w:val="table1"/>
              <w:spacing w:line="240" w:lineRule="auto"/>
              <w:jc w:val="center"/>
              <w:rPr>
                <w:rFonts w:ascii="Times New Roman" w:hAnsi="Times New Roman"/>
                <w:sz w:val="18"/>
                <w:szCs w:val="18"/>
              </w:rPr>
            </w:pPr>
            <w:r w:rsidRPr="00B34608">
              <w:rPr>
                <w:rFonts w:ascii="Times New Roman" w:hAnsi="Times New Roman"/>
                <w:sz w:val="18"/>
                <w:szCs w:val="18"/>
              </w:rPr>
              <w:t>3</w:t>
            </w:r>
          </w:p>
        </w:tc>
        <w:tc>
          <w:tcPr>
            <w:tcW w:w="1420" w:type="dxa"/>
            <w:vAlign w:val="bottom"/>
          </w:tcPr>
          <w:p w:rsidR="00D2569B" w:rsidRPr="00B34608" w:rsidRDefault="00D2569B" w:rsidP="000E148A">
            <w:pPr>
              <w:pStyle w:val="table1"/>
              <w:spacing w:line="240" w:lineRule="auto"/>
              <w:jc w:val="center"/>
              <w:rPr>
                <w:rFonts w:ascii="Times New Roman" w:hAnsi="Times New Roman"/>
                <w:sz w:val="18"/>
                <w:szCs w:val="18"/>
              </w:rPr>
            </w:pPr>
            <w:r w:rsidRPr="00B34608">
              <w:rPr>
                <w:rFonts w:ascii="Times New Roman" w:hAnsi="Times New Roman"/>
                <w:sz w:val="18"/>
                <w:szCs w:val="18"/>
              </w:rPr>
              <w:t>4</w:t>
            </w:r>
          </w:p>
        </w:tc>
        <w:tc>
          <w:tcPr>
            <w:tcW w:w="1559" w:type="dxa"/>
            <w:vAlign w:val="bottom"/>
          </w:tcPr>
          <w:p w:rsidR="00D2569B" w:rsidRPr="00B34608" w:rsidRDefault="00D2569B" w:rsidP="000E148A">
            <w:pPr>
              <w:pStyle w:val="table1"/>
              <w:spacing w:line="240" w:lineRule="auto"/>
              <w:jc w:val="center"/>
              <w:rPr>
                <w:rFonts w:ascii="Times New Roman" w:hAnsi="Times New Roman"/>
                <w:sz w:val="18"/>
                <w:szCs w:val="18"/>
              </w:rPr>
            </w:pPr>
            <w:r w:rsidRPr="00B34608">
              <w:rPr>
                <w:rFonts w:ascii="Times New Roman" w:hAnsi="Times New Roman"/>
                <w:sz w:val="18"/>
                <w:szCs w:val="18"/>
              </w:rPr>
              <w:t>5</w:t>
            </w:r>
          </w:p>
        </w:tc>
      </w:tr>
      <w:tr w:rsidR="00D2569B" w:rsidRPr="00B34608" w:rsidTr="008907A4">
        <w:tc>
          <w:tcPr>
            <w:tcW w:w="851" w:type="dxa"/>
          </w:tcPr>
          <w:p w:rsidR="00D2569B" w:rsidRPr="00B34608" w:rsidRDefault="00D2569B" w:rsidP="00983297">
            <w:pPr>
              <w:rPr>
                <w:b/>
                <w:sz w:val="18"/>
                <w:szCs w:val="18"/>
              </w:rPr>
            </w:pPr>
            <w:r w:rsidRPr="00B34608">
              <w:rPr>
                <w:b/>
                <w:sz w:val="18"/>
                <w:szCs w:val="18"/>
              </w:rPr>
              <w:t>A.</w:t>
            </w:r>
          </w:p>
        </w:tc>
        <w:tc>
          <w:tcPr>
            <w:tcW w:w="5667" w:type="dxa"/>
          </w:tcPr>
          <w:p w:rsidR="00D2569B" w:rsidRPr="00F55C6D" w:rsidRDefault="00D2569B" w:rsidP="00362DF9">
            <w:pPr>
              <w:rPr>
                <w:b/>
                <w:sz w:val="18"/>
                <w:szCs w:val="18"/>
              </w:rPr>
            </w:pPr>
            <w:r w:rsidRPr="00F55C6D">
              <w:rPr>
                <w:b/>
                <w:bCs/>
                <w:sz w:val="18"/>
                <w:szCs w:val="18"/>
              </w:rPr>
              <w:t>CASH FLOWS FROM OPERATING ACTIVITIES</w:t>
            </w:r>
          </w:p>
        </w:tc>
        <w:tc>
          <w:tcPr>
            <w:tcW w:w="851" w:type="dxa"/>
            <w:vAlign w:val="bottom"/>
          </w:tcPr>
          <w:p w:rsidR="00D2569B" w:rsidRPr="00B34608" w:rsidRDefault="00D2569B" w:rsidP="00983297">
            <w:pPr>
              <w:pStyle w:val="table1"/>
              <w:spacing w:line="240" w:lineRule="auto"/>
              <w:jc w:val="center"/>
              <w:rPr>
                <w:rFonts w:ascii="Times New Roman" w:hAnsi="Times New Roman"/>
                <w:b/>
                <w:sz w:val="18"/>
                <w:szCs w:val="18"/>
              </w:rPr>
            </w:pPr>
          </w:p>
        </w:tc>
        <w:tc>
          <w:tcPr>
            <w:tcW w:w="1420" w:type="dxa"/>
            <w:vAlign w:val="bottom"/>
          </w:tcPr>
          <w:p w:rsidR="00D2569B" w:rsidRPr="00B34608" w:rsidRDefault="00D2569B" w:rsidP="003B7422">
            <w:pPr>
              <w:pStyle w:val="table1"/>
              <w:spacing w:line="240" w:lineRule="auto"/>
              <w:rPr>
                <w:rFonts w:ascii="Times New Roman" w:hAnsi="Times New Roman"/>
                <w:b/>
                <w:sz w:val="18"/>
                <w:szCs w:val="18"/>
              </w:rPr>
            </w:pPr>
            <w:r>
              <w:rPr>
                <w:rFonts w:ascii="Times New Roman" w:hAnsi="Times New Roman"/>
                <w:b/>
                <w:sz w:val="18"/>
                <w:szCs w:val="18"/>
              </w:rPr>
              <w:t>(30,</w:t>
            </w:r>
            <w:r w:rsidRPr="00B34608">
              <w:rPr>
                <w:rFonts w:ascii="Times New Roman" w:hAnsi="Times New Roman"/>
                <w:b/>
                <w:sz w:val="18"/>
                <w:szCs w:val="18"/>
              </w:rPr>
              <w:t>670</w:t>
            </w:r>
            <w:r>
              <w:rPr>
                <w:rFonts w:ascii="Times New Roman" w:hAnsi="Times New Roman"/>
                <w:b/>
                <w:sz w:val="18"/>
                <w:szCs w:val="18"/>
              </w:rPr>
              <w:t>,</w:t>
            </w:r>
            <w:r w:rsidRPr="00B34608">
              <w:rPr>
                <w:rFonts w:ascii="Times New Roman" w:hAnsi="Times New Roman"/>
                <w:b/>
                <w:sz w:val="18"/>
                <w:szCs w:val="18"/>
              </w:rPr>
              <w:t>822)</w:t>
            </w:r>
          </w:p>
        </w:tc>
        <w:tc>
          <w:tcPr>
            <w:tcW w:w="1559" w:type="dxa"/>
            <w:vAlign w:val="bottom"/>
          </w:tcPr>
          <w:p w:rsidR="00D2569B" w:rsidRPr="00B34608" w:rsidRDefault="00D2569B" w:rsidP="00705BA7">
            <w:pPr>
              <w:pStyle w:val="table1"/>
              <w:spacing w:line="240" w:lineRule="auto"/>
              <w:rPr>
                <w:rFonts w:ascii="Times New Roman" w:hAnsi="Times New Roman"/>
                <w:b/>
                <w:sz w:val="18"/>
                <w:szCs w:val="18"/>
              </w:rPr>
            </w:pPr>
            <w:r>
              <w:rPr>
                <w:rFonts w:ascii="Times New Roman" w:hAnsi="Times New Roman"/>
                <w:b/>
                <w:sz w:val="18"/>
                <w:szCs w:val="18"/>
              </w:rPr>
              <w:t>97,</w:t>
            </w:r>
            <w:r w:rsidRPr="00B34608">
              <w:rPr>
                <w:rFonts w:ascii="Times New Roman" w:hAnsi="Times New Roman"/>
                <w:b/>
                <w:sz w:val="18"/>
                <w:szCs w:val="18"/>
              </w:rPr>
              <w:t>358</w:t>
            </w:r>
            <w:r>
              <w:rPr>
                <w:rFonts w:ascii="Times New Roman" w:hAnsi="Times New Roman"/>
                <w:b/>
                <w:sz w:val="18"/>
                <w:szCs w:val="18"/>
              </w:rPr>
              <w:t>,</w:t>
            </w:r>
            <w:r w:rsidRPr="00B34608">
              <w:rPr>
                <w:rFonts w:ascii="Times New Roman" w:hAnsi="Times New Roman"/>
                <w:b/>
                <w:sz w:val="18"/>
                <w:szCs w:val="18"/>
              </w:rPr>
              <w:t>172</w:t>
            </w:r>
          </w:p>
        </w:tc>
      </w:tr>
      <w:tr w:rsidR="00D2569B" w:rsidRPr="00B34608" w:rsidTr="008907A4">
        <w:trPr>
          <w:trHeight w:val="180"/>
        </w:trPr>
        <w:tc>
          <w:tcPr>
            <w:tcW w:w="851" w:type="dxa"/>
          </w:tcPr>
          <w:p w:rsidR="00D2569B" w:rsidRPr="00B34608" w:rsidRDefault="00D2569B" w:rsidP="00362DF9">
            <w:pPr>
              <w:rPr>
                <w:b/>
                <w:sz w:val="18"/>
                <w:szCs w:val="18"/>
              </w:rPr>
            </w:pPr>
            <w:r w:rsidRPr="00B34608">
              <w:rPr>
                <w:b/>
                <w:sz w:val="18"/>
                <w:szCs w:val="18"/>
              </w:rPr>
              <w:t>I.</w:t>
            </w:r>
          </w:p>
        </w:tc>
        <w:tc>
          <w:tcPr>
            <w:tcW w:w="5667" w:type="dxa"/>
          </w:tcPr>
          <w:p w:rsidR="00D2569B" w:rsidRPr="00B34608" w:rsidRDefault="00D2569B" w:rsidP="00983297">
            <w:pPr>
              <w:rPr>
                <w:b/>
                <w:sz w:val="18"/>
                <w:szCs w:val="18"/>
              </w:rPr>
            </w:pPr>
            <w:r>
              <w:rPr>
                <w:b/>
                <w:sz w:val="18"/>
                <w:szCs w:val="18"/>
              </w:rPr>
              <w:t>Receipts</w:t>
            </w:r>
          </w:p>
        </w:tc>
        <w:tc>
          <w:tcPr>
            <w:tcW w:w="851" w:type="dxa"/>
            <w:vAlign w:val="bottom"/>
          </w:tcPr>
          <w:p w:rsidR="00D2569B" w:rsidRPr="00B34608" w:rsidRDefault="00D2569B" w:rsidP="00983297">
            <w:pPr>
              <w:pStyle w:val="table1"/>
              <w:spacing w:line="240" w:lineRule="auto"/>
              <w:jc w:val="center"/>
              <w:rPr>
                <w:rFonts w:ascii="Times New Roman" w:hAnsi="Times New Roman"/>
                <w:b/>
                <w:color w:val="000000"/>
                <w:sz w:val="18"/>
                <w:szCs w:val="18"/>
              </w:rPr>
            </w:pPr>
          </w:p>
        </w:tc>
        <w:tc>
          <w:tcPr>
            <w:tcW w:w="1420" w:type="dxa"/>
            <w:vAlign w:val="bottom"/>
          </w:tcPr>
          <w:p w:rsidR="00D2569B" w:rsidRPr="00B34608" w:rsidRDefault="00D2569B" w:rsidP="003B7422">
            <w:pPr>
              <w:pStyle w:val="table1"/>
              <w:spacing w:line="240" w:lineRule="auto"/>
              <w:rPr>
                <w:rFonts w:ascii="Times New Roman" w:hAnsi="Times New Roman"/>
                <w:b/>
                <w:color w:val="000000"/>
                <w:sz w:val="18"/>
                <w:szCs w:val="18"/>
              </w:rPr>
            </w:pPr>
            <w:r>
              <w:rPr>
                <w:rFonts w:ascii="Times New Roman" w:hAnsi="Times New Roman"/>
                <w:b/>
                <w:color w:val="000000"/>
                <w:sz w:val="18"/>
                <w:szCs w:val="18"/>
              </w:rPr>
              <w:t>70,</w:t>
            </w:r>
            <w:r w:rsidRPr="00B34608">
              <w:rPr>
                <w:rFonts w:ascii="Times New Roman" w:hAnsi="Times New Roman"/>
                <w:b/>
                <w:color w:val="000000"/>
                <w:sz w:val="18"/>
                <w:szCs w:val="18"/>
              </w:rPr>
              <w:t>408</w:t>
            </w:r>
            <w:r>
              <w:rPr>
                <w:rFonts w:ascii="Times New Roman" w:hAnsi="Times New Roman"/>
                <w:b/>
                <w:color w:val="000000"/>
                <w:sz w:val="18"/>
                <w:szCs w:val="18"/>
              </w:rPr>
              <w:t>,</w:t>
            </w:r>
            <w:r w:rsidRPr="00B34608">
              <w:rPr>
                <w:rFonts w:ascii="Times New Roman" w:hAnsi="Times New Roman"/>
                <w:b/>
                <w:color w:val="000000"/>
                <w:sz w:val="18"/>
                <w:szCs w:val="18"/>
              </w:rPr>
              <w:t>430</w:t>
            </w:r>
          </w:p>
        </w:tc>
        <w:tc>
          <w:tcPr>
            <w:tcW w:w="1559" w:type="dxa"/>
            <w:vAlign w:val="bottom"/>
          </w:tcPr>
          <w:p w:rsidR="00D2569B" w:rsidRPr="00B34608" w:rsidRDefault="00D2569B" w:rsidP="00705BA7">
            <w:pPr>
              <w:pStyle w:val="table1"/>
              <w:spacing w:line="240" w:lineRule="auto"/>
              <w:rPr>
                <w:rFonts w:ascii="Times New Roman" w:hAnsi="Times New Roman"/>
                <w:b/>
                <w:color w:val="000000"/>
                <w:sz w:val="18"/>
                <w:szCs w:val="18"/>
              </w:rPr>
            </w:pPr>
            <w:r w:rsidRPr="00B34608">
              <w:rPr>
                <w:rFonts w:ascii="Times New Roman" w:hAnsi="Times New Roman"/>
                <w:b/>
                <w:color w:val="000000"/>
                <w:sz w:val="18"/>
                <w:szCs w:val="18"/>
              </w:rPr>
              <w:t>120</w:t>
            </w:r>
            <w:r>
              <w:rPr>
                <w:rFonts w:ascii="Times New Roman" w:hAnsi="Times New Roman"/>
                <w:b/>
                <w:color w:val="000000"/>
                <w:sz w:val="18"/>
                <w:szCs w:val="18"/>
              </w:rPr>
              <w:t>,</w:t>
            </w:r>
            <w:r w:rsidRPr="00B34608">
              <w:rPr>
                <w:rFonts w:ascii="Times New Roman" w:hAnsi="Times New Roman"/>
                <w:b/>
                <w:color w:val="000000"/>
                <w:sz w:val="18"/>
                <w:szCs w:val="18"/>
              </w:rPr>
              <w:t>148</w:t>
            </w:r>
            <w:r>
              <w:rPr>
                <w:rFonts w:ascii="Times New Roman" w:hAnsi="Times New Roman"/>
                <w:b/>
                <w:color w:val="000000"/>
                <w:sz w:val="18"/>
                <w:szCs w:val="18"/>
              </w:rPr>
              <w:t>,</w:t>
            </w:r>
            <w:r w:rsidRPr="00B34608">
              <w:rPr>
                <w:rFonts w:ascii="Times New Roman" w:hAnsi="Times New Roman"/>
                <w:b/>
                <w:color w:val="000000"/>
                <w:sz w:val="18"/>
                <w:szCs w:val="18"/>
              </w:rPr>
              <w:t>859</w:t>
            </w:r>
          </w:p>
        </w:tc>
      </w:tr>
      <w:tr w:rsidR="00D2569B" w:rsidRPr="00B34608" w:rsidTr="008907A4">
        <w:trPr>
          <w:trHeight w:val="180"/>
        </w:trPr>
        <w:tc>
          <w:tcPr>
            <w:tcW w:w="851" w:type="dxa"/>
          </w:tcPr>
          <w:p w:rsidR="00D2569B" w:rsidRPr="00B34608" w:rsidRDefault="00D2569B" w:rsidP="00362DF9">
            <w:pPr>
              <w:rPr>
                <w:sz w:val="18"/>
                <w:szCs w:val="18"/>
              </w:rPr>
            </w:pPr>
            <w:r w:rsidRPr="00B34608">
              <w:rPr>
                <w:sz w:val="18"/>
                <w:szCs w:val="18"/>
              </w:rPr>
              <w:t>I.1.</w:t>
            </w:r>
          </w:p>
        </w:tc>
        <w:tc>
          <w:tcPr>
            <w:tcW w:w="5667" w:type="dxa"/>
          </w:tcPr>
          <w:p w:rsidR="00D2569B" w:rsidRPr="00B34608" w:rsidRDefault="00D2569B" w:rsidP="00983297">
            <w:pPr>
              <w:rPr>
                <w:sz w:val="18"/>
                <w:szCs w:val="18"/>
              </w:rPr>
            </w:pPr>
            <w:r w:rsidRPr="00B34608">
              <w:rPr>
                <w:sz w:val="18"/>
                <w:szCs w:val="18"/>
              </w:rPr>
              <w:t>Finan</w:t>
            </w:r>
            <w:r>
              <w:rPr>
                <w:sz w:val="18"/>
                <w:szCs w:val="18"/>
              </w:rPr>
              <w:t>cing amounts for other expenses and inventories</w:t>
            </w:r>
          </w:p>
        </w:tc>
        <w:tc>
          <w:tcPr>
            <w:tcW w:w="851" w:type="dxa"/>
            <w:vAlign w:val="bottom"/>
          </w:tcPr>
          <w:p w:rsidR="00D2569B" w:rsidRPr="00B34608" w:rsidRDefault="00D2569B" w:rsidP="00983297">
            <w:pPr>
              <w:pStyle w:val="table1"/>
              <w:spacing w:line="240" w:lineRule="auto"/>
              <w:jc w:val="center"/>
              <w:rPr>
                <w:rFonts w:ascii="Times New Roman" w:hAnsi="Times New Roman"/>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r>
      <w:tr w:rsidR="00D2569B" w:rsidRPr="00B34608" w:rsidTr="008907A4">
        <w:trPr>
          <w:trHeight w:val="180"/>
        </w:trPr>
        <w:tc>
          <w:tcPr>
            <w:tcW w:w="851" w:type="dxa"/>
          </w:tcPr>
          <w:p w:rsidR="00D2569B" w:rsidRPr="00B34608" w:rsidRDefault="00D2569B" w:rsidP="001B13B8">
            <w:pPr>
              <w:rPr>
                <w:sz w:val="18"/>
                <w:szCs w:val="18"/>
              </w:rPr>
            </w:pPr>
            <w:r w:rsidRPr="00B34608">
              <w:rPr>
                <w:sz w:val="18"/>
                <w:szCs w:val="18"/>
              </w:rPr>
              <w:t>I.1.1</w:t>
            </w:r>
          </w:p>
        </w:tc>
        <w:tc>
          <w:tcPr>
            <w:tcW w:w="5667" w:type="dxa"/>
          </w:tcPr>
          <w:p w:rsidR="00D2569B" w:rsidRPr="00B34608" w:rsidRDefault="00D2569B" w:rsidP="00983297">
            <w:pPr>
              <w:rPr>
                <w:sz w:val="18"/>
                <w:szCs w:val="18"/>
              </w:rPr>
            </w:pPr>
            <w:r>
              <w:rPr>
                <w:sz w:val="18"/>
                <w:szCs w:val="18"/>
              </w:rPr>
              <w:t>From the State Budget</w:t>
            </w:r>
          </w:p>
        </w:tc>
        <w:tc>
          <w:tcPr>
            <w:tcW w:w="851" w:type="dxa"/>
            <w:vAlign w:val="bottom"/>
          </w:tcPr>
          <w:p w:rsidR="00D2569B" w:rsidRPr="00B34608" w:rsidRDefault="00D2569B" w:rsidP="00983297">
            <w:pPr>
              <w:pStyle w:val="table1"/>
              <w:spacing w:line="240" w:lineRule="auto"/>
              <w:jc w:val="center"/>
              <w:rPr>
                <w:rFonts w:ascii="Times New Roman" w:hAnsi="Times New Roman"/>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r>
      <w:tr w:rsidR="00D2569B" w:rsidRPr="00B34608" w:rsidTr="008907A4">
        <w:trPr>
          <w:trHeight w:val="180"/>
        </w:trPr>
        <w:tc>
          <w:tcPr>
            <w:tcW w:w="851" w:type="dxa"/>
          </w:tcPr>
          <w:p w:rsidR="00D2569B" w:rsidRPr="00B34608" w:rsidRDefault="00D2569B" w:rsidP="001B13B8">
            <w:pPr>
              <w:rPr>
                <w:sz w:val="18"/>
                <w:szCs w:val="18"/>
              </w:rPr>
            </w:pPr>
            <w:r w:rsidRPr="00B34608">
              <w:rPr>
                <w:sz w:val="18"/>
                <w:szCs w:val="18"/>
              </w:rPr>
              <w:t>I.1.2</w:t>
            </w:r>
          </w:p>
        </w:tc>
        <w:tc>
          <w:tcPr>
            <w:tcW w:w="5667" w:type="dxa"/>
          </w:tcPr>
          <w:p w:rsidR="00D2569B" w:rsidRPr="00B34608" w:rsidRDefault="00D2569B" w:rsidP="00983297">
            <w:pPr>
              <w:rPr>
                <w:sz w:val="18"/>
                <w:szCs w:val="18"/>
              </w:rPr>
            </w:pPr>
            <w:r>
              <w:rPr>
                <w:sz w:val="18"/>
                <w:szCs w:val="18"/>
              </w:rPr>
              <w:t>From the municipal budget</w:t>
            </w:r>
          </w:p>
        </w:tc>
        <w:tc>
          <w:tcPr>
            <w:tcW w:w="851" w:type="dxa"/>
            <w:vAlign w:val="bottom"/>
          </w:tcPr>
          <w:p w:rsidR="00D2569B" w:rsidRPr="00B34608" w:rsidRDefault="00D2569B" w:rsidP="00983297">
            <w:pPr>
              <w:pStyle w:val="table1"/>
              <w:spacing w:line="240" w:lineRule="auto"/>
              <w:jc w:val="center"/>
              <w:rPr>
                <w:rFonts w:ascii="Times New Roman" w:hAnsi="Times New Roman"/>
                <w:b/>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b/>
                <w:color w:val="000000"/>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b/>
                <w:color w:val="000000"/>
                <w:sz w:val="18"/>
                <w:szCs w:val="18"/>
              </w:rPr>
            </w:pPr>
          </w:p>
        </w:tc>
      </w:tr>
      <w:tr w:rsidR="00D2569B" w:rsidRPr="00B34608" w:rsidTr="008907A4">
        <w:trPr>
          <w:trHeight w:val="180"/>
        </w:trPr>
        <w:tc>
          <w:tcPr>
            <w:tcW w:w="851" w:type="dxa"/>
          </w:tcPr>
          <w:p w:rsidR="00D2569B" w:rsidRPr="00B34608" w:rsidRDefault="00D2569B" w:rsidP="001B13B8">
            <w:pPr>
              <w:rPr>
                <w:sz w:val="18"/>
                <w:szCs w:val="18"/>
              </w:rPr>
            </w:pPr>
            <w:r w:rsidRPr="00B34608">
              <w:rPr>
                <w:sz w:val="18"/>
                <w:szCs w:val="18"/>
              </w:rPr>
              <w:t>I.1.3</w:t>
            </w:r>
          </w:p>
        </w:tc>
        <w:tc>
          <w:tcPr>
            <w:tcW w:w="5667" w:type="dxa"/>
          </w:tcPr>
          <w:p w:rsidR="00D2569B" w:rsidRPr="00B34608" w:rsidRDefault="00D2569B" w:rsidP="00983297">
            <w:pPr>
              <w:rPr>
                <w:sz w:val="18"/>
                <w:szCs w:val="18"/>
              </w:rPr>
            </w:pPr>
            <w:r>
              <w:rPr>
                <w:sz w:val="18"/>
                <w:szCs w:val="18"/>
              </w:rPr>
              <w:t>From funds of the EU, foreign countries and international organisations</w:t>
            </w:r>
          </w:p>
        </w:tc>
        <w:tc>
          <w:tcPr>
            <w:tcW w:w="851" w:type="dxa"/>
            <w:vAlign w:val="bottom"/>
          </w:tcPr>
          <w:p w:rsidR="00D2569B" w:rsidRPr="00B34608" w:rsidRDefault="00D2569B" w:rsidP="00983297">
            <w:pPr>
              <w:pStyle w:val="table1"/>
              <w:spacing w:line="240" w:lineRule="auto"/>
              <w:jc w:val="center"/>
              <w:rPr>
                <w:rFonts w:ascii="Times New Roman" w:hAnsi="Times New Roman"/>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r>
      <w:tr w:rsidR="00D2569B" w:rsidRPr="00B34608" w:rsidTr="008907A4">
        <w:trPr>
          <w:trHeight w:val="180"/>
        </w:trPr>
        <w:tc>
          <w:tcPr>
            <w:tcW w:w="851" w:type="dxa"/>
          </w:tcPr>
          <w:p w:rsidR="00D2569B" w:rsidRPr="00B34608" w:rsidRDefault="00D2569B" w:rsidP="001B13B8">
            <w:pPr>
              <w:rPr>
                <w:sz w:val="18"/>
                <w:szCs w:val="18"/>
              </w:rPr>
            </w:pPr>
            <w:r w:rsidRPr="00B34608">
              <w:rPr>
                <w:sz w:val="18"/>
                <w:szCs w:val="18"/>
              </w:rPr>
              <w:t>I.1.4</w:t>
            </w:r>
          </w:p>
        </w:tc>
        <w:tc>
          <w:tcPr>
            <w:tcW w:w="5667" w:type="dxa"/>
          </w:tcPr>
          <w:p w:rsidR="00D2569B" w:rsidRPr="00B34608" w:rsidRDefault="00D2569B" w:rsidP="00CB1DF7">
            <w:pPr>
              <w:rPr>
                <w:sz w:val="18"/>
                <w:szCs w:val="18"/>
              </w:rPr>
            </w:pPr>
            <w:r>
              <w:rPr>
                <w:sz w:val="18"/>
                <w:szCs w:val="18"/>
              </w:rPr>
              <w:t>From other sources</w:t>
            </w:r>
          </w:p>
        </w:tc>
        <w:tc>
          <w:tcPr>
            <w:tcW w:w="851" w:type="dxa"/>
            <w:vAlign w:val="bottom"/>
          </w:tcPr>
          <w:p w:rsidR="00D2569B" w:rsidRPr="00B34608" w:rsidRDefault="00D2569B" w:rsidP="00983297">
            <w:pPr>
              <w:pStyle w:val="table1"/>
              <w:spacing w:line="240" w:lineRule="auto"/>
              <w:jc w:val="center"/>
              <w:rPr>
                <w:rFonts w:ascii="Times New Roman" w:hAnsi="Times New Roman"/>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r>
      <w:tr w:rsidR="00D2569B" w:rsidRPr="00B34608" w:rsidTr="008907A4">
        <w:trPr>
          <w:trHeight w:val="180"/>
        </w:trPr>
        <w:tc>
          <w:tcPr>
            <w:tcW w:w="851" w:type="dxa"/>
          </w:tcPr>
          <w:p w:rsidR="00D2569B" w:rsidRPr="00B34608" w:rsidRDefault="00D2569B" w:rsidP="00894B10">
            <w:pPr>
              <w:rPr>
                <w:sz w:val="18"/>
                <w:szCs w:val="18"/>
              </w:rPr>
            </w:pPr>
            <w:r w:rsidRPr="00B34608">
              <w:rPr>
                <w:sz w:val="18"/>
                <w:szCs w:val="18"/>
              </w:rPr>
              <w:t>I.2</w:t>
            </w:r>
          </w:p>
        </w:tc>
        <w:tc>
          <w:tcPr>
            <w:tcW w:w="5667" w:type="dxa"/>
          </w:tcPr>
          <w:p w:rsidR="00D2569B" w:rsidRPr="00B34608" w:rsidRDefault="00D2569B" w:rsidP="00CB1DF7">
            <w:pPr>
              <w:rPr>
                <w:sz w:val="18"/>
                <w:szCs w:val="18"/>
              </w:rPr>
            </w:pPr>
            <w:r>
              <w:rPr>
                <w:sz w:val="18"/>
                <w:szCs w:val="18"/>
              </w:rPr>
              <w:t>From taxes</w:t>
            </w:r>
          </w:p>
        </w:tc>
        <w:tc>
          <w:tcPr>
            <w:tcW w:w="851" w:type="dxa"/>
            <w:vAlign w:val="bottom"/>
          </w:tcPr>
          <w:p w:rsidR="00D2569B" w:rsidRPr="00B34608" w:rsidRDefault="00D2569B" w:rsidP="00983297">
            <w:pPr>
              <w:pStyle w:val="table1"/>
              <w:spacing w:line="240" w:lineRule="auto"/>
              <w:jc w:val="center"/>
              <w:rPr>
                <w:rFonts w:ascii="Times New Roman" w:hAnsi="Times New Roman"/>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sz w:val="18"/>
                <w:szCs w:val="18"/>
              </w:rPr>
            </w:pPr>
          </w:p>
        </w:tc>
      </w:tr>
      <w:tr w:rsidR="00D2569B" w:rsidRPr="00B34608" w:rsidTr="008907A4">
        <w:trPr>
          <w:trHeight w:val="180"/>
        </w:trPr>
        <w:tc>
          <w:tcPr>
            <w:tcW w:w="851" w:type="dxa"/>
          </w:tcPr>
          <w:p w:rsidR="00D2569B" w:rsidRPr="00B34608" w:rsidRDefault="00D2569B" w:rsidP="00894B10">
            <w:pPr>
              <w:rPr>
                <w:sz w:val="18"/>
                <w:szCs w:val="18"/>
              </w:rPr>
            </w:pPr>
            <w:r w:rsidRPr="00B34608">
              <w:rPr>
                <w:sz w:val="18"/>
                <w:szCs w:val="18"/>
              </w:rPr>
              <w:t>I.3</w:t>
            </w:r>
          </w:p>
        </w:tc>
        <w:tc>
          <w:tcPr>
            <w:tcW w:w="5667" w:type="dxa"/>
          </w:tcPr>
          <w:p w:rsidR="00D2569B" w:rsidRPr="00B34608" w:rsidRDefault="00D2569B" w:rsidP="00983297">
            <w:pPr>
              <w:rPr>
                <w:sz w:val="18"/>
                <w:szCs w:val="18"/>
              </w:rPr>
            </w:pPr>
            <w:r>
              <w:rPr>
                <w:sz w:val="18"/>
                <w:szCs w:val="18"/>
              </w:rPr>
              <w:t>From social contributions</w:t>
            </w:r>
          </w:p>
        </w:tc>
        <w:tc>
          <w:tcPr>
            <w:tcW w:w="851" w:type="dxa"/>
            <w:vAlign w:val="bottom"/>
          </w:tcPr>
          <w:p w:rsidR="00D2569B" w:rsidRPr="00B34608" w:rsidRDefault="00D2569B" w:rsidP="00983297">
            <w:pPr>
              <w:pStyle w:val="table1"/>
              <w:spacing w:line="240" w:lineRule="auto"/>
              <w:jc w:val="center"/>
              <w:rPr>
                <w:rFonts w:ascii="Times New Roman" w:hAnsi="Times New Roman"/>
                <w:b/>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b/>
                <w:bCs/>
                <w:color w:val="000000"/>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b/>
                <w:bCs/>
                <w:color w:val="000000"/>
                <w:sz w:val="18"/>
                <w:szCs w:val="18"/>
              </w:rPr>
            </w:pPr>
          </w:p>
        </w:tc>
      </w:tr>
      <w:tr w:rsidR="00D2569B" w:rsidRPr="00B34608" w:rsidTr="008907A4">
        <w:trPr>
          <w:trHeight w:val="180"/>
        </w:trPr>
        <w:tc>
          <w:tcPr>
            <w:tcW w:w="851" w:type="dxa"/>
          </w:tcPr>
          <w:p w:rsidR="00D2569B" w:rsidRPr="00B34608" w:rsidRDefault="00D2569B" w:rsidP="00894B10">
            <w:pPr>
              <w:rPr>
                <w:sz w:val="18"/>
                <w:szCs w:val="18"/>
              </w:rPr>
            </w:pPr>
            <w:r w:rsidRPr="00B34608">
              <w:rPr>
                <w:sz w:val="18"/>
                <w:szCs w:val="18"/>
              </w:rPr>
              <w:t>I.4</w:t>
            </w:r>
          </w:p>
        </w:tc>
        <w:tc>
          <w:tcPr>
            <w:tcW w:w="5667" w:type="dxa"/>
          </w:tcPr>
          <w:p w:rsidR="00D2569B" w:rsidRPr="00B34608" w:rsidRDefault="00D2569B" w:rsidP="00983297">
            <w:pPr>
              <w:rPr>
                <w:sz w:val="18"/>
                <w:szCs w:val="18"/>
              </w:rPr>
            </w:pPr>
            <w:r>
              <w:rPr>
                <w:sz w:val="18"/>
                <w:szCs w:val="18"/>
              </w:rPr>
              <w:t>For provided services</w:t>
            </w:r>
          </w:p>
        </w:tc>
        <w:tc>
          <w:tcPr>
            <w:tcW w:w="851" w:type="dxa"/>
            <w:vAlign w:val="bottom"/>
          </w:tcPr>
          <w:p w:rsidR="00D2569B" w:rsidRPr="00B34608" w:rsidRDefault="00D2569B" w:rsidP="00983297">
            <w:pPr>
              <w:pStyle w:val="table1"/>
              <w:spacing w:line="240" w:lineRule="auto"/>
              <w:jc w:val="center"/>
              <w:rPr>
                <w:rFonts w:ascii="Times New Roman" w:hAnsi="Times New Roman"/>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color w:val="000000"/>
                <w:sz w:val="18"/>
                <w:szCs w:val="18"/>
                <w:highlight w:val="yellow"/>
              </w:rPr>
            </w:pPr>
          </w:p>
        </w:tc>
        <w:tc>
          <w:tcPr>
            <w:tcW w:w="1559" w:type="dxa"/>
            <w:vAlign w:val="bottom"/>
          </w:tcPr>
          <w:p w:rsidR="00D2569B" w:rsidRPr="00B34608" w:rsidRDefault="00D2569B" w:rsidP="00705BA7">
            <w:pPr>
              <w:pStyle w:val="table1"/>
              <w:spacing w:line="240" w:lineRule="auto"/>
              <w:rPr>
                <w:rFonts w:ascii="Times New Roman" w:hAnsi="Times New Roman"/>
                <w:color w:val="000000"/>
                <w:sz w:val="18"/>
                <w:szCs w:val="18"/>
              </w:rPr>
            </w:pPr>
            <w:r w:rsidRPr="00B34608">
              <w:rPr>
                <w:rFonts w:ascii="Times New Roman" w:hAnsi="Times New Roman"/>
                <w:color w:val="000000"/>
                <w:sz w:val="18"/>
                <w:szCs w:val="18"/>
              </w:rPr>
              <w:t>100</w:t>
            </w:r>
          </w:p>
        </w:tc>
      </w:tr>
      <w:tr w:rsidR="00D2569B" w:rsidRPr="00B34608" w:rsidTr="008907A4">
        <w:trPr>
          <w:trHeight w:val="180"/>
        </w:trPr>
        <w:tc>
          <w:tcPr>
            <w:tcW w:w="851" w:type="dxa"/>
          </w:tcPr>
          <w:p w:rsidR="00D2569B" w:rsidRPr="00B34608" w:rsidRDefault="00D2569B" w:rsidP="00894B10">
            <w:pPr>
              <w:rPr>
                <w:sz w:val="18"/>
                <w:szCs w:val="18"/>
              </w:rPr>
            </w:pPr>
            <w:r w:rsidRPr="00B34608">
              <w:rPr>
                <w:sz w:val="18"/>
                <w:szCs w:val="18"/>
              </w:rPr>
              <w:t>I.5</w:t>
            </w:r>
          </w:p>
        </w:tc>
        <w:tc>
          <w:tcPr>
            <w:tcW w:w="5667" w:type="dxa"/>
          </w:tcPr>
          <w:p w:rsidR="00D2569B" w:rsidRPr="00B34608" w:rsidRDefault="00D2569B" w:rsidP="00983297">
            <w:pPr>
              <w:rPr>
                <w:sz w:val="18"/>
                <w:szCs w:val="18"/>
              </w:rPr>
            </w:pPr>
            <w:r>
              <w:rPr>
                <w:sz w:val="18"/>
                <w:szCs w:val="18"/>
              </w:rPr>
              <w:t>Received interest</w:t>
            </w:r>
          </w:p>
        </w:tc>
        <w:tc>
          <w:tcPr>
            <w:tcW w:w="851" w:type="dxa"/>
            <w:vAlign w:val="bottom"/>
          </w:tcPr>
          <w:p w:rsidR="00D2569B" w:rsidRPr="00B34608" w:rsidRDefault="00D2569B" w:rsidP="00983297">
            <w:pPr>
              <w:pStyle w:val="table1"/>
              <w:spacing w:line="240" w:lineRule="auto"/>
              <w:jc w:val="center"/>
              <w:rPr>
                <w:rFonts w:ascii="Times New Roman" w:hAnsi="Times New Roman"/>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color w:val="000000"/>
                <w:sz w:val="18"/>
                <w:szCs w:val="18"/>
              </w:rPr>
            </w:pPr>
            <w:r w:rsidRPr="00B34608">
              <w:rPr>
                <w:rFonts w:ascii="Times New Roman" w:hAnsi="Times New Roman"/>
                <w:color w:val="000000"/>
                <w:sz w:val="18"/>
                <w:szCs w:val="18"/>
              </w:rPr>
              <w:t>774</w:t>
            </w:r>
          </w:p>
        </w:tc>
        <w:tc>
          <w:tcPr>
            <w:tcW w:w="1559" w:type="dxa"/>
            <w:vAlign w:val="bottom"/>
          </w:tcPr>
          <w:p w:rsidR="00D2569B" w:rsidRPr="00B34608" w:rsidRDefault="00D2569B" w:rsidP="00705BA7">
            <w:pPr>
              <w:pStyle w:val="table1"/>
              <w:spacing w:line="240" w:lineRule="auto"/>
              <w:rPr>
                <w:rFonts w:ascii="Times New Roman" w:hAnsi="Times New Roman"/>
                <w:color w:val="000000"/>
                <w:sz w:val="18"/>
                <w:szCs w:val="18"/>
              </w:rPr>
            </w:pPr>
            <w:r>
              <w:rPr>
                <w:rFonts w:ascii="Times New Roman" w:hAnsi="Times New Roman"/>
                <w:color w:val="000000"/>
                <w:sz w:val="18"/>
                <w:szCs w:val="18"/>
              </w:rPr>
              <w:t>4,</w:t>
            </w:r>
            <w:r w:rsidRPr="00B34608">
              <w:rPr>
                <w:rFonts w:ascii="Times New Roman" w:hAnsi="Times New Roman"/>
                <w:color w:val="000000"/>
                <w:sz w:val="18"/>
                <w:szCs w:val="18"/>
              </w:rPr>
              <w:t>890</w:t>
            </w:r>
          </w:p>
        </w:tc>
      </w:tr>
      <w:tr w:rsidR="00D2569B" w:rsidRPr="00B34608" w:rsidTr="008907A4">
        <w:trPr>
          <w:trHeight w:val="180"/>
        </w:trPr>
        <w:tc>
          <w:tcPr>
            <w:tcW w:w="851" w:type="dxa"/>
          </w:tcPr>
          <w:p w:rsidR="00D2569B" w:rsidRPr="00B34608" w:rsidRDefault="00D2569B" w:rsidP="00894B10">
            <w:pPr>
              <w:rPr>
                <w:sz w:val="18"/>
                <w:szCs w:val="18"/>
              </w:rPr>
            </w:pPr>
            <w:r w:rsidRPr="00B34608">
              <w:rPr>
                <w:sz w:val="18"/>
                <w:szCs w:val="18"/>
              </w:rPr>
              <w:t>I.6</w:t>
            </w:r>
          </w:p>
        </w:tc>
        <w:tc>
          <w:tcPr>
            <w:tcW w:w="5667" w:type="dxa"/>
          </w:tcPr>
          <w:p w:rsidR="00D2569B" w:rsidRPr="00B34608" w:rsidRDefault="00D2569B" w:rsidP="00983297">
            <w:pPr>
              <w:rPr>
                <w:sz w:val="18"/>
                <w:szCs w:val="18"/>
              </w:rPr>
            </w:pPr>
            <w:r>
              <w:rPr>
                <w:sz w:val="18"/>
                <w:szCs w:val="18"/>
              </w:rPr>
              <w:t>Other receipts</w:t>
            </w:r>
            <w:r w:rsidRPr="00B34608">
              <w:rPr>
                <w:sz w:val="18"/>
                <w:szCs w:val="18"/>
              </w:rPr>
              <w:t>:</w:t>
            </w:r>
          </w:p>
        </w:tc>
        <w:tc>
          <w:tcPr>
            <w:tcW w:w="851" w:type="dxa"/>
            <w:vAlign w:val="bottom"/>
          </w:tcPr>
          <w:p w:rsidR="00D2569B" w:rsidRPr="00B34608" w:rsidRDefault="00D2569B" w:rsidP="00983297">
            <w:pPr>
              <w:pStyle w:val="table1"/>
              <w:spacing w:line="240" w:lineRule="auto"/>
              <w:jc w:val="center"/>
              <w:rPr>
                <w:rFonts w:ascii="Times New Roman" w:hAnsi="Times New Roman"/>
                <w:color w:val="000000"/>
                <w:sz w:val="18"/>
                <w:szCs w:val="18"/>
              </w:rPr>
            </w:pPr>
            <w:r w:rsidRPr="00B34608">
              <w:rPr>
                <w:rFonts w:ascii="Times New Roman" w:hAnsi="Times New Roman"/>
                <w:color w:val="000000"/>
                <w:sz w:val="18"/>
                <w:szCs w:val="18"/>
              </w:rPr>
              <w:t>12</w:t>
            </w:r>
          </w:p>
        </w:tc>
        <w:tc>
          <w:tcPr>
            <w:tcW w:w="1420" w:type="dxa"/>
            <w:vAlign w:val="bottom"/>
          </w:tcPr>
          <w:p w:rsidR="00D2569B" w:rsidRPr="00B34608" w:rsidRDefault="00D2569B" w:rsidP="00846513">
            <w:pPr>
              <w:pStyle w:val="table1"/>
              <w:spacing w:line="240" w:lineRule="auto"/>
              <w:rPr>
                <w:rFonts w:ascii="Times New Roman" w:hAnsi="Times New Roman"/>
                <w:color w:val="000000"/>
                <w:sz w:val="18"/>
                <w:szCs w:val="18"/>
              </w:rPr>
            </w:pPr>
            <w:r>
              <w:rPr>
                <w:rFonts w:ascii="Times New Roman" w:hAnsi="Times New Roman"/>
                <w:color w:val="000000"/>
                <w:sz w:val="18"/>
                <w:szCs w:val="18"/>
              </w:rPr>
              <w:t>70,</w:t>
            </w:r>
            <w:r w:rsidRPr="00B34608">
              <w:rPr>
                <w:rFonts w:ascii="Times New Roman" w:hAnsi="Times New Roman"/>
                <w:color w:val="000000"/>
                <w:sz w:val="18"/>
                <w:szCs w:val="18"/>
              </w:rPr>
              <w:t>407</w:t>
            </w:r>
            <w:r>
              <w:rPr>
                <w:rFonts w:ascii="Times New Roman" w:hAnsi="Times New Roman"/>
                <w:color w:val="000000"/>
                <w:sz w:val="18"/>
                <w:szCs w:val="18"/>
              </w:rPr>
              <w:t>,</w:t>
            </w:r>
            <w:r w:rsidRPr="00B34608">
              <w:rPr>
                <w:rFonts w:ascii="Times New Roman" w:hAnsi="Times New Roman"/>
                <w:color w:val="000000"/>
                <w:sz w:val="18"/>
                <w:szCs w:val="18"/>
              </w:rPr>
              <w:t>656</w:t>
            </w:r>
          </w:p>
        </w:tc>
        <w:tc>
          <w:tcPr>
            <w:tcW w:w="1559" w:type="dxa"/>
            <w:vAlign w:val="bottom"/>
          </w:tcPr>
          <w:p w:rsidR="00D2569B" w:rsidRPr="00B34608" w:rsidRDefault="00D2569B" w:rsidP="001E5202">
            <w:pPr>
              <w:pStyle w:val="table1"/>
              <w:spacing w:line="240" w:lineRule="auto"/>
              <w:rPr>
                <w:rFonts w:ascii="Times New Roman" w:hAnsi="Times New Roman"/>
                <w:color w:val="000000"/>
                <w:sz w:val="18"/>
                <w:szCs w:val="18"/>
              </w:rPr>
            </w:pPr>
            <w:r w:rsidRPr="00B34608">
              <w:rPr>
                <w:rFonts w:ascii="Times New Roman" w:hAnsi="Times New Roman"/>
                <w:color w:val="000000"/>
                <w:sz w:val="18"/>
                <w:szCs w:val="18"/>
              </w:rPr>
              <w:t>120</w:t>
            </w:r>
            <w:r>
              <w:rPr>
                <w:rFonts w:ascii="Times New Roman" w:hAnsi="Times New Roman"/>
                <w:color w:val="000000"/>
                <w:sz w:val="18"/>
                <w:szCs w:val="18"/>
              </w:rPr>
              <w:t>,</w:t>
            </w:r>
            <w:r w:rsidRPr="00B34608">
              <w:rPr>
                <w:rFonts w:ascii="Times New Roman" w:hAnsi="Times New Roman"/>
                <w:color w:val="000000"/>
                <w:sz w:val="18"/>
                <w:szCs w:val="18"/>
              </w:rPr>
              <w:t>143</w:t>
            </w:r>
            <w:r>
              <w:rPr>
                <w:rFonts w:ascii="Times New Roman" w:hAnsi="Times New Roman"/>
                <w:color w:val="000000"/>
                <w:sz w:val="18"/>
                <w:szCs w:val="18"/>
              </w:rPr>
              <w:t>,</w:t>
            </w:r>
            <w:r w:rsidRPr="00B34608">
              <w:rPr>
                <w:rFonts w:ascii="Times New Roman" w:hAnsi="Times New Roman"/>
                <w:color w:val="000000"/>
                <w:sz w:val="18"/>
                <w:szCs w:val="18"/>
              </w:rPr>
              <w:t>869</w:t>
            </w:r>
          </w:p>
        </w:tc>
      </w:tr>
      <w:tr w:rsidR="00D2569B" w:rsidRPr="00B34608" w:rsidTr="008907A4">
        <w:trPr>
          <w:trHeight w:val="180"/>
        </w:trPr>
        <w:tc>
          <w:tcPr>
            <w:tcW w:w="851" w:type="dxa"/>
          </w:tcPr>
          <w:p w:rsidR="00D2569B" w:rsidRPr="00B34608" w:rsidRDefault="00D2569B" w:rsidP="00983297">
            <w:pPr>
              <w:rPr>
                <w:b/>
                <w:sz w:val="18"/>
                <w:szCs w:val="18"/>
              </w:rPr>
            </w:pPr>
            <w:r w:rsidRPr="00B34608">
              <w:rPr>
                <w:b/>
                <w:sz w:val="18"/>
                <w:szCs w:val="18"/>
              </w:rPr>
              <w:t>II.</w:t>
            </w:r>
          </w:p>
        </w:tc>
        <w:tc>
          <w:tcPr>
            <w:tcW w:w="5667" w:type="dxa"/>
          </w:tcPr>
          <w:p w:rsidR="00D2569B" w:rsidRPr="00B34608" w:rsidRDefault="00D2569B" w:rsidP="00940FA9">
            <w:pPr>
              <w:rPr>
                <w:b/>
                <w:sz w:val="18"/>
                <w:szCs w:val="18"/>
              </w:rPr>
            </w:pPr>
            <w:r>
              <w:rPr>
                <w:b/>
                <w:sz w:val="18"/>
                <w:szCs w:val="18"/>
              </w:rPr>
              <w:t>Transferred funds</w:t>
            </w:r>
          </w:p>
        </w:tc>
        <w:tc>
          <w:tcPr>
            <w:tcW w:w="851" w:type="dxa"/>
            <w:vAlign w:val="bottom"/>
          </w:tcPr>
          <w:p w:rsidR="00D2569B" w:rsidRPr="00B34608" w:rsidRDefault="00D2569B" w:rsidP="00983297">
            <w:pPr>
              <w:pStyle w:val="table1"/>
              <w:spacing w:line="240" w:lineRule="auto"/>
              <w:jc w:val="center"/>
              <w:rPr>
                <w:rFonts w:ascii="Times New Roman" w:hAnsi="Times New Roman"/>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r>
      <w:tr w:rsidR="00D2569B" w:rsidRPr="00B34608" w:rsidTr="008907A4">
        <w:trPr>
          <w:trHeight w:val="180"/>
        </w:trPr>
        <w:tc>
          <w:tcPr>
            <w:tcW w:w="851" w:type="dxa"/>
          </w:tcPr>
          <w:p w:rsidR="00D2569B" w:rsidRPr="00B34608" w:rsidRDefault="00D2569B" w:rsidP="00F519FD">
            <w:pPr>
              <w:rPr>
                <w:sz w:val="18"/>
                <w:szCs w:val="18"/>
              </w:rPr>
            </w:pPr>
            <w:r w:rsidRPr="00B34608">
              <w:rPr>
                <w:sz w:val="18"/>
                <w:szCs w:val="18"/>
              </w:rPr>
              <w:t>II.1</w:t>
            </w:r>
          </w:p>
        </w:tc>
        <w:tc>
          <w:tcPr>
            <w:tcW w:w="5667" w:type="dxa"/>
          </w:tcPr>
          <w:p w:rsidR="00D2569B" w:rsidRPr="00B34608" w:rsidRDefault="00D2569B" w:rsidP="00F55C6D">
            <w:pPr>
              <w:rPr>
                <w:sz w:val="18"/>
                <w:szCs w:val="18"/>
              </w:rPr>
            </w:pPr>
            <w:r>
              <w:rPr>
                <w:sz w:val="18"/>
                <w:szCs w:val="18"/>
              </w:rPr>
              <w:t>To the State Budget</w:t>
            </w:r>
          </w:p>
        </w:tc>
        <w:tc>
          <w:tcPr>
            <w:tcW w:w="851" w:type="dxa"/>
            <w:vAlign w:val="bottom"/>
          </w:tcPr>
          <w:p w:rsidR="00D2569B" w:rsidRPr="00B34608" w:rsidRDefault="00D2569B" w:rsidP="00983297">
            <w:pPr>
              <w:pStyle w:val="table1"/>
              <w:spacing w:line="240" w:lineRule="auto"/>
              <w:jc w:val="center"/>
              <w:rPr>
                <w:rFonts w:ascii="Times New Roman" w:hAnsi="Times New Roman"/>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r>
      <w:tr w:rsidR="00D2569B" w:rsidRPr="00B34608" w:rsidTr="008907A4">
        <w:trPr>
          <w:trHeight w:val="180"/>
        </w:trPr>
        <w:tc>
          <w:tcPr>
            <w:tcW w:w="851" w:type="dxa"/>
          </w:tcPr>
          <w:p w:rsidR="00D2569B" w:rsidRPr="00B34608" w:rsidRDefault="00D2569B" w:rsidP="00F519FD">
            <w:pPr>
              <w:rPr>
                <w:sz w:val="18"/>
                <w:szCs w:val="18"/>
              </w:rPr>
            </w:pPr>
            <w:r w:rsidRPr="00B34608">
              <w:rPr>
                <w:sz w:val="18"/>
                <w:szCs w:val="18"/>
              </w:rPr>
              <w:t>II.2</w:t>
            </w:r>
          </w:p>
        </w:tc>
        <w:tc>
          <w:tcPr>
            <w:tcW w:w="5667" w:type="dxa"/>
          </w:tcPr>
          <w:p w:rsidR="00D2569B" w:rsidRPr="00B34608" w:rsidRDefault="00D2569B" w:rsidP="00F55C6D">
            <w:pPr>
              <w:rPr>
                <w:sz w:val="18"/>
                <w:szCs w:val="18"/>
              </w:rPr>
            </w:pPr>
            <w:r>
              <w:rPr>
                <w:sz w:val="18"/>
                <w:szCs w:val="18"/>
              </w:rPr>
              <w:t>To municipal budgets</w:t>
            </w:r>
          </w:p>
        </w:tc>
        <w:tc>
          <w:tcPr>
            <w:tcW w:w="851" w:type="dxa"/>
            <w:vAlign w:val="bottom"/>
          </w:tcPr>
          <w:p w:rsidR="00D2569B" w:rsidRPr="00B34608" w:rsidRDefault="00D2569B" w:rsidP="00983297">
            <w:pPr>
              <w:pStyle w:val="table1"/>
              <w:spacing w:line="240" w:lineRule="auto"/>
              <w:jc w:val="center"/>
              <w:rPr>
                <w:rFonts w:ascii="Times New Roman" w:hAnsi="Times New Roman"/>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r>
      <w:tr w:rsidR="00D2569B" w:rsidRPr="00B34608" w:rsidTr="008907A4">
        <w:trPr>
          <w:trHeight w:val="180"/>
        </w:trPr>
        <w:tc>
          <w:tcPr>
            <w:tcW w:w="851" w:type="dxa"/>
          </w:tcPr>
          <w:p w:rsidR="00D2569B" w:rsidRPr="00B34608" w:rsidRDefault="00D2569B" w:rsidP="00F519FD">
            <w:pPr>
              <w:rPr>
                <w:sz w:val="18"/>
                <w:szCs w:val="18"/>
              </w:rPr>
            </w:pPr>
            <w:r w:rsidRPr="00B34608">
              <w:rPr>
                <w:sz w:val="18"/>
                <w:szCs w:val="18"/>
              </w:rPr>
              <w:t>II.3</w:t>
            </w:r>
          </w:p>
        </w:tc>
        <w:tc>
          <w:tcPr>
            <w:tcW w:w="5667" w:type="dxa"/>
          </w:tcPr>
          <w:p w:rsidR="00D2569B" w:rsidRPr="00B34608" w:rsidRDefault="00D2569B" w:rsidP="00CB1DF7">
            <w:pPr>
              <w:rPr>
                <w:sz w:val="18"/>
                <w:szCs w:val="18"/>
              </w:rPr>
            </w:pPr>
            <w:r>
              <w:rPr>
                <w:sz w:val="18"/>
                <w:szCs w:val="18"/>
              </w:rPr>
              <w:t>To the EU, foreign countries and international organisations</w:t>
            </w:r>
          </w:p>
        </w:tc>
        <w:tc>
          <w:tcPr>
            <w:tcW w:w="851" w:type="dxa"/>
            <w:vAlign w:val="bottom"/>
          </w:tcPr>
          <w:p w:rsidR="00D2569B" w:rsidRPr="00B34608" w:rsidRDefault="00D2569B" w:rsidP="00983297">
            <w:pPr>
              <w:pStyle w:val="table1"/>
              <w:spacing w:line="240" w:lineRule="auto"/>
              <w:jc w:val="center"/>
              <w:rPr>
                <w:rFonts w:ascii="Times New Roman" w:hAnsi="Times New Roman"/>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r>
      <w:tr w:rsidR="00D2569B" w:rsidRPr="00B34608" w:rsidTr="008907A4">
        <w:trPr>
          <w:trHeight w:val="180"/>
        </w:trPr>
        <w:tc>
          <w:tcPr>
            <w:tcW w:w="851" w:type="dxa"/>
          </w:tcPr>
          <w:p w:rsidR="00D2569B" w:rsidRPr="00B34608" w:rsidRDefault="00D2569B" w:rsidP="00F519FD">
            <w:pPr>
              <w:rPr>
                <w:sz w:val="18"/>
                <w:szCs w:val="18"/>
              </w:rPr>
            </w:pPr>
            <w:r w:rsidRPr="00B34608">
              <w:rPr>
                <w:sz w:val="18"/>
                <w:szCs w:val="18"/>
              </w:rPr>
              <w:t>II.4</w:t>
            </w:r>
          </w:p>
        </w:tc>
        <w:tc>
          <w:tcPr>
            <w:tcW w:w="5667" w:type="dxa"/>
          </w:tcPr>
          <w:p w:rsidR="00D2569B" w:rsidRPr="00B34608" w:rsidRDefault="00D2569B" w:rsidP="00983297">
            <w:pPr>
              <w:rPr>
                <w:sz w:val="18"/>
                <w:szCs w:val="18"/>
              </w:rPr>
            </w:pPr>
            <w:r>
              <w:rPr>
                <w:sz w:val="18"/>
                <w:szCs w:val="18"/>
              </w:rPr>
              <w:t>To other funds of resources</w:t>
            </w:r>
          </w:p>
        </w:tc>
        <w:tc>
          <w:tcPr>
            <w:tcW w:w="851" w:type="dxa"/>
            <w:vAlign w:val="bottom"/>
          </w:tcPr>
          <w:p w:rsidR="00D2569B" w:rsidRPr="00B34608" w:rsidRDefault="00D2569B" w:rsidP="00983297">
            <w:pPr>
              <w:pStyle w:val="table1"/>
              <w:spacing w:line="240" w:lineRule="auto"/>
              <w:jc w:val="center"/>
              <w:rPr>
                <w:rFonts w:ascii="Times New Roman" w:hAnsi="Times New Roman"/>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r>
      <w:tr w:rsidR="00D2569B" w:rsidRPr="00B34608" w:rsidTr="008907A4">
        <w:trPr>
          <w:trHeight w:val="180"/>
        </w:trPr>
        <w:tc>
          <w:tcPr>
            <w:tcW w:w="851" w:type="dxa"/>
          </w:tcPr>
          <w:p w:rsidR="00D2569B" w:rsidRPr="00B34608" w:rsidRDefault="00D2569B" w:rsidP="00983297">
            <w:pPr>
              <w:rPr>
                <w:sz w:val="18"/>
                <w:szCs w:val="18"/>
              </w:rPr>
            </w:pPr>
            <w:r w:rsidRPr="00B34608">
              <w:rPr>
                <w:sz w:val="18"/>
                <w:szCs w:val="18"/>
              </w:rPr>
              <w:t>II.5</w:t>
            </w:r>
          </w:p>
        </w:tc>
        <w:tc>
          <w:tcPr>
            <w:tcW w:w="5667" w:type="dxa"/>
          </w:tcPr>
          <w:p w:rsidR="00D2569B" w:rsidRPr="00B34608" w:rsidRDefault="00D2569B" w:rsidP="00983297">
            <w:pPr>
              <w:rPr>
                <w:sz w:val="18"/>
                <w:szCs w:val="18"/>
              </w:rPr>
            </w:pPr>
            <w:r>
              <w:rPr>
                <w:sz w:val="18"/>
                <w:szCs w:val="18"/>
              </w:rPr>
              <w:t>To public sector entities</w:t>
            </w:r>
          </w:p>
        </w:tc>
        <w:tc>
          <w:tcPr>
            <w:tcW w:w="851" w:type="dxa"/>
            <w:vAlign w:val="bottom"/>
          </w:tcPr>
          <w:p w:rsidR="00D2569B" w:rsidRPr="00B34608" w:rsidRDefault="00D2569B" w:rsidP="00983297">
            <w:pPr>
              <w:pStyle w:val="table1"/>
              <w:spacing w:line="240" w:lineRule="auto"/>
              <w:jc w:val="center"/>
              <w:rPr>
                <w:rFonts w:ascii="Times New Roman" w:hAnsi="Times New Roman"/>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r>
      <w:tr w:rsidR="00D2569B" w:rsidRPr="00B34608" w:rsidTr="008907A4">
        <w:trPr>
          <w:trHeight w:val="180"/>
        </w:trPr>
        <w:tc>
          <w:tcPr>
            <w:tcW w:w="851" w:type="dxa"/>
          </w:tcPr>
          <w:p w:rsidR="00D2569B" w:rsidRPr="00B34608" w:rsidRDefault="00D2569B" w:rsidP="00983297">
            <w:pPr>
              <w:rPr>
                <w:sz w:val="18"/>
                <w:szCs w:val="18"/>
              </w:rPr>
            </w:pPr>
            <w:r w:rsidRPr="00B34608">
              <w:rPr>
                <w:sz w:val="18"/>
                <w:szCs w:val="18"/>
              </w:rPr>
              <w:t>II.6</w:t>
            </w:r>
          </w:p>
        </w:tc>
        <w:tc>
          <w:tcPr>
            <w:tcW w:w="5667" w:type="dxa"/>
          </w:tcPr>
          <w:p w:rsidR="00D2569B" w:rsidRPr="00B34608" w:rsidRDefault="00D2569B" w:rsidP="00983297">
            <w:pPr>
              <w:rPr>
                <w:sz w:val="18"/>
                <w:szCs w:val="18"/>
              </w:rPr>
            </w:pPr>
            <w:r>
              <w:rPr>
                <w:sz w:val="18"/>
                <w:szCs w:val="18"/>
              </w:rPr>
              <w:t>To other entities</w:t>
            </w:r>
          </w:p>
        </w:tc>
        <w:tc>
          <w:tcPr>
            <w:tcW w:w="851" w:type="dxa"/>
            <w:vAlign w:val="bottom"/>
          </w:tcPr>
          <w:p w:rsidR="00D2569B" w:rsidRPr="00B34608" w:rsidRDefault="00D2569B" w:rsidP="00983297">
            <w:pPr>
              <w:pStyle w:val="table1"/>
              <w:spacing w:line="240" w:lineRule="auto"/>
              <w:jc w:val="center"/>
              <w:rPr>
                <w:rFonts w:ascii="Times New Roman" w:hAnsi="Times New Roman"/>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r>
      <w:tr w:rsidR="00D2569B" w:rsidRPr="00B34608" w:rsidTr="008907A4">
        <w:trPr>
          <w:trHeight w:val="180"/>
        </w:trPr>
        <w:tc>
          <w:tcPr>
            <w:tcW w:w="851" w:type="dxa"/>
          </w:tcPr>
          <w:p w:rsidR="00D2569B" w:rsidRPr="00B34608" w:rsidRDefault="00D2569B" w:rsidP="00983297">
            <w:pPr>
              <w:rPr>
                <w:b/>
                <w:sz w:val="18"/>
                <w:szCs w:val="18"/>
              </w:rPr>
            </w:pPr>
            <w:r w:rsidRPr="00B34608">
              <w:rPr>
                <w:b/>
                <w:sz w:val="18"/>
                <w:szCs w:val="18"/>
              </w:rPr>
              <w:t>III.</w:t>
            </w:r>
          </w:p>
        </w:tc>
        <w:tc>
          <w:tcPr>
            <w:tcW w:w="5667" w:type="dxa"/>
          </w:tcPr>
          <w:p w:rsidR="00D2569B" w:rsidRPr="00B34608" w:rsidRDefault="00D2569B" w:rsidP="00983297">
            <w:pPr>
              <w:rPr>
                <w:b/>
                <w:sz w:val="18"/>
                <w:szCs w:val="18"/>
              </w:rPr>
            </w:pPr>
            <w:r>
              <w:rPr>
                <w:b/>
                <w:sz w:val="18"/>
                <w:szCs w:val="18"/>
              </w:rPr>
              <w:t>Payments</w:t>
            </w:r>
          </w:p>
        </w:tc>
        <w:tc>
          <w:tcPr>
            <w:tcW w:w="851" w:type="dxa"/>
            <w:vAlign w:val="bottom"/>
          </w:tcPr>
          <w:p w:rsidR="00D2569B" w:rsidRPr="00B34608" w:rsidRDefault="00D2569B" w:rsidP="00983297">
            <w:pPr>
              <w:pStyle w:val="table1"/>
              <w:spacing w:line="240" w:lineRule="auto"/>
              <w:jc w:val="center"/>
              <w:rPr>
                <w:rFonts w:ascii="Times New Roman" w:hAnsi="Times New Roman"/>
                <w:b/>
                <w:color w:val="000000"/>
                <w:sz w:val="18"/>
                <w:szCs w:val="18"/>
              </w:rPr>
            </w:pPr>
          </w:p>
        </w:tc>
        <w:tc>
          <w:tcPr>
            <w:tcW w:w="1420" w:type="dxa"/>
            <w:vAlign w:val="bottom"/>
          </w:tcPr>
          <w:p w:rsidR="00D2569B" w:rsidRPr="00B34608" w:rsidRDefault="00D2569B" w:rsidP="00B2345D">
            <w:pPr>
              <w:pStyle w:val="table1"/>
              <w:spacing w:line="240" w:lineRule="auto"/>
              <w:rPr>
                <w:rFonts w:ascii="Times New Roman" w:hAnsi="Times New Roman"/>
                <w:b/>
                <w:color w:val="000000"/>
                <w:sz w:val="18"/>
                <w:szCs w:val="18"/>
              </w:rPr>
            </w:pPr>
            <w:r>
              <w:rPr>
                <w:rFonts w:ascii="Times New Roman" w:hAnsi="Times New Roman"/>
                <w:b/>
                <w:color w:val="000000"/>
                <w:sz w:val="18"/>
                <w:szCs w:val="18"/>
              </w:rPr>
              <w:t>(101,</w:t>
            </w:r>
            <w:r w:rsidRPr="00B34608">
              <w:rPr>
                <w:rFonts w:ascii="Times New Roman" w:hAnsi="Times New Roman"/>
                <w:b/>
                <w:color w:val="000000"/>
                <w:sz w:val="18"/>
                <w:szCs w:val="18"/>
              </w:rPr>
              <w:t>079</w:t>
            </w:r>
            <w:r>
              <w:rPr>
                <w:rFonts w:ascii="Times New Roman" w:hAnsi="Times New Roman"/>
                <w:b/>
                <w:color w:val="000000"/>
                <w:sz w:val="18"/>
                <w:szCs w:val="18"/>
              </w:rPr>
              <w:t>,</w:t>
            </w:r>
            <w:r w:rsidRPr="00B34608">
              <w:rPr>
                <w:rFonts w:ascii="Times New Roman" w:hAnsi="Times New Roman"/>
                <w:b/>
                <w:color w:val="000000"/>
                <w:sz w:val="18"/>
                <w:szCs w:val="18"/>
              </w:rPr>
              <w:t>252)</w:t>
            </w:r>
          </w:p>
        </w:tc>
        <w:tc>
          <w:tcPr>
            <w:tcW w:w="1559" w:type="dxa"/>
            <w:vAlign w:val="bottom"/>
          </w:tcPr>
          <w:p w:rsidR="00D2569B" w:rsidRPr="00B34608" w:rsidRDefault="00D2569B" w:rsidP="00C70982">
            <w:pPr>
              <w:pStyle w:val="table1"/>
              <w:spacing w:line="240" w:lineRule="auto"/>
              <w:rPr>
                <w:rFonts w:ascii="Times New Roman" w:hAnsi="Times New Roman"/>
                <w:b/>
                <w:color w:val="000000"/>
                <w:sz w:val="18"/>
                <w:szCs w:val="18"/>
              </w:rPr>
            </w:pPr>
            <w:r w:rsidRPr="00B34608">
              <w:rPr>
                <w:rFonts w:ascii="Times New Roman" w:hAnsi="Times New Roman"/>
                <w:b/>
                <w:color w:val="000000"/>
                <w:sz w:val="18"/>
                <w:szCs w:val="18"/>
              </w:rPr>
              <w:t>(22</w:t>
            </w:r>
            <w:r>
              <w:rPr>
                <w:rFonts w:ascii="Times New Roman" w:hAnsi="Times New Roman"/>
                <w:b/>
                <w:color w:val="000000"/>
                <w:sz w:val="18"/>
                <w:szCs w:val="18"/>
              </w:rPr>
              <w:t>,</w:t>
            </w:r>
            <w:r w:rsidRPr="00B34608">
              <w:rPr>
                <w:rFonts w:ascii="Times New Roman" w:hAnsi="Times New Roman"/>
                <w:b/>
                <w:color w:val="000000"/>
                <w:sz w:val="18"/>
                <w:szCs w:val="18"/>
              </w:rPr>
              <w:t>790</w:t>
            </w:r>
            <w:r>
              <w:rPr>
                <w:rFonts w:ascii="Times New Roman" w:hAnsi="Times New Roman"/>
                <w:b/>
                <w:color w:val="000000"/>
                <w:sz w:val="18"/>
                <w:szCs w:val="18"/>
              </w:rPr>
              <w:t>,</w:t>
            </w:r>
            <w:r w:rsidRPr="00B34608">
              <w:rPr>
                <w:rFonts w:ascii="Times New Roman" w:hAnsi="Times New Roman"/>
                <w:b/>
                <w:color w:val="000000"/>
                <w:sz w:val="18"/>
                <w:szCs w:val="18"/>
              </w:rPr>
              <w:t>687)</w:t>
            </w:r>
          </w:p>
        </w:tc>
      </w:tr>
      <w:tr w:rsidR="00D2569B" w:rsidRPr="00B34608" w:rsidTr="008907A4">
        <w:trPr>
          <w:trHeight w:val="20"/>
        </w:trPr>
        <w:tc>
          <w:tcPr>
            <w:tcW w:w="851" w:type="dxa"/>
          </w:tcPr>
          <w:p w:rsidR="00D2569B" w:rsidRPr="00B34608" w:rsidRDefault="00D2569B" w:rsidP="00983297">
            <w:pPr>
              <w:rPr>
                <w:sz w:val="18"/>
                <w:szCs w:val="18"/>
              </w:rPr>
            </w:pPr>
            <w:r w:rsidRPr="00B34608">
              <w:rPr>
                <w:sz w:val="18"/>
                <w:szCs w:val="18"/>
              </w:rPr>
              <w:t>III.1</w:t>
            </w:r>
          </w:p>
        </w:tc>
        <w:tc>
          <w:tcPr>
            <w:tcW w:w="5667" w:type="dxa"/>
          </w:tcPr>
          <w:p w:rsidR="00D2569B" w:rsidRPr="00B34608" w:rsidRDefault="00D2569B" w:rsidP="00983297">
            <w:pPr>
              <w:rPr>
                <w:sz w:val="18"/>
                <w:szCs w:val="18"/>
              </w:rPr>
            </w:pPr>
            <w:r w:rsidRPr="00B34608">
              <w:rPr>
                <w:sz w:val="18"/>
                <w:szCs w:val="18"/>
              </w:rPr>
              <w:t>Social</w:t>
            </w:r>
            <w:r>
              <w:rPr>
                <w:sz w:val="18"/>
                <w:szCs w:val="18"/>
              </w:rPr>
              <w:t xml:space="preserve"> payments</w:t>
            </w:r>
          </w:p>
        </w:tc>
        <w:tc>
          <w:tcPr>
            <w:tcW w:w="851" w:type="dxa"/>
            <w:vAlign w:val="bottom"/>
          </w:tcPr>
          <w:p w:rsidR="00D2569B" w:rsidRPr="00B34608" w:rsidRDefault="00D2569B" w:rsidP="00983297">
            <w:pPr>
              <w:pStyle w:val="table1"/>
              <w:spacing w:line="240" w:lineRule="auto"/>
              <w:jc w:val="center"/>
              <w:rPr>
                <w:rFonts w:ascii="Times New Roman" w:hAnsi="Times New Roman"/>
                <w:b/>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b/>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b/>
                <w:sz w:val="18"/>
                <w:szCs w:val="18"/>
              </w:rPr>
            </w:pPr>
          </w:p>
        </w:tc>
      </w:tr>
      <w:tr w:rsidR="00D2569B" w:rsidRPr="00B34608" w:rsidTr="008907A4">
        <w:trPr>
          <w:trHeight w:val="20"/>
        </w:trPr>
        <w:tc>
          <w:tcPr>
            <w:tcW w:w="851" w:type="dxa"/>
          </w:tcPr>
          <w:p w:rsidR="00D2569B" w:rsidRPr="00B34608" w:rsidRDefault="00D2569B" w:rsidP="001B13B8">
            <w:pPr>
              <w:rPr>
                <w:sz w:val="18"/>
                <w:szCs w:val="18"/>
              </w:rPr>
            </w:pPr>
            <w:r w:rsidRPr="00B34608">
              <w:rPr>
                <w:sz w:val="18"/>
                <w:szCs w:val="18"/>
              </w:rPr>
              <w:t>III.2</w:t>
            </w:r>
          </w:p>
        </w:tc>
        <w:tc>
          <w:tcPr>
            <w:tcW w:w="5667" w:type="dxa"/>
          </w:tcPr>
          <w:p w:rsidR="00D2569B" w:rsidRPr="00201D95" w:rsidRDefault="00D2569B" w:rsidP="00426E72">
            <w:pPr>
              <w:rPr>
                <w:sz w:val="18"/>
                <w:szCs w:val="18"/>
              </w:rPr>
            </w:pPr>
            <w:r>
              <w:rPr>
                <w:sz w:val="18"/>
                <w:szCs w:val="18"/>
              </w:rPr>
              <w:t>O</w:t>
            </w:r>
            <w:r w:rsidRPr="00201D95">
              <w:rPr>
                <w:sz w:val="18"/>
                <w:szCs w:val="18"/>
              </w:rPr>
              <w:t>ther services</w:t>
            </w:r>
            <w:r>
              <w:rPr>
                <w:sz w:val="18"/>
                <w:szCs w:val="18"/>
              </w:rPr>
              <w:t xml:space="preserve"> acquired</w:t>
            </w:r>
          </w:p>
        </w:tc>
        <w:tc>
          <w:tcPr>
            <w:tcW w:w="851" w:type="dxa"/>
            <w:vAlign w:val="bottom"/>
          </w:tcPr>
          <w:p w:rsidR="00D2569B" w:rsidRPr="00B34608" w:rsidRDefault="00D2569B" w:rsidP="00983297">
            <w:pPr>
              <w:pStyle w:val="table1"/>
              <w:spacing w:line="240" w:lineRule="auto"/>
              <w:jc w:val="center"/>
              <w:rPr>
                <w:rFonts w:ascii="Times New Roman" w:hAnsi="Times New Roman"/>
                <w:sz w:val="18"/>
                <w:szCs w:val="18"/>
              </w:rPr>
            </w:pPr>
          </w:p>
        </w:tc>
        <w:tc>
          <w:tcPr>
            <w:tcW w:w="1420" w:type="dxa"/>
          </w:tcPr>
          <w:p w:rsidR="00D2569B" w:rsidRPr="00B34608" w:rsidRDefault="00D2569B" w:rsidP="00885400">
            <w:pPr>
              <w:pStyle w:val="table1"/>
              <w:spacing w:line="240" w:lineRule="auto"/>
              <w:rPr>
                <w:rFonts w:ascii="Times New Roman" w:hAnsi="Times New Roman"/>
                <w:color w:val="000000"/>
                <w:sz w:val="18"/>
                <w:szCs w:val="18"/>
              </w:rPr>
            </w:pPr>
            <w:r>
              <w:rPr>
                <w:rFonts w:ascii="Times New Roman" w:hAnsi="Times New Roman"/>
                <w:color w:val="000000"/>
                <w:sz w:val="18"/>
                <w:szCs w:val="18"/>
              </w:rPr>
              <w:t>(469,</w:t>
            </w:r>
            <w:r w:rsidRPr="00B34608">
              <w:rPr>
                <w:rFonts w:ascii="Times New Roman" w:hAnsi="Times New Roman"/>
                <w:color w:val="000000"/>
                <w:sz w:val="18"/>
                <w:szCs w:val="18"/>
              </w:rPr>
              <w:t>596)</w:t>
            </w:r>
          </w:p>
        </w:tc>
        <w:tc>
          <w:tcPr>
            <w:tcW w:w="1559" w:type="dxa"/>
          </w:tcPr>
          <w:p w:rsidR="00D2569B" w:rsidRPr="00B34608" w:rsidRDefault="00D2569B" w:rsidP="00C70982">
            <w:pPr>
              <w:pStyle w:val="table1"/>
              <w:spacing w:line="240" w:lineRule="auto"/>
              <w:rPr>
                <w:rFonts w:ascii="Times New Roman" w:hAnsi="Times New Roman"/>
                <w:color w:val="000000"/>
                <w:sz w:val="18"/>
                <w:szCs w:val="18"/>
              </w:rPr>
            </w:pPr>
            <w:r>
              <w:rPr>
                <w:rFonts w:ascii="Times New Roman" w:hAnsi="Times New Roman"/>
                <w:color w:val="000000"/>
                <w:sz w:val="18"/>
                <w:szCs w:val="18"/>
              </w:rPr>
              <w:t>(620,</w:t>
            </w:r>
            <w:r w:rsidRPr="00B34608">
              <w:rPr>
                <w:rFonts w:ascii="Times New Roman" w:hAnsi="Times New Roman"/>
                <w:color w:val="000000"/>
                <w:sz w:val="18"/>
                <w:szCs w:val="18"/>
              </w:rPr>
              <w:t>399)</w:t>
            </w:r>
          </w:p>
        </w:tc>
      </w:tr>
      <w:tr w:rsidR="00D2569B" w:rsidRPr="00B34608" w:rsidTr="008907A4">
        <w:trPr>
          <w:trHeight w:val="20"/>
        </w:trPr>
        <w:tc>
          <w:tcPr>
            <w:tcW w:w="851" w:type="dxa"/>
          </w:tcPr>
          <w:p w:rsidR="00D2569B" w:rsidRPr="00B34608" w:rsidRDefault="00D2569B" w:rsidP="001B13B8">
            <w:pPr>
              <w:rPr>
                <w:sz w:val="18"/>
                <w:szCs w:val="18"/>
              </w:rPr>
            </w:pPr>
            <w:r w:rsidRPr="00B34608">
              <w:rPr>
                <w:sz w:val="18"/>
                <w:szCs w:val="18"/>
              </w:rPr>
              <w:t>III.3</w:t>
            </w:r>
          </w:p>
        </w:tc>
        <w:tc>
          <w:tcPr>
            <w:tcW w:w="5667" w:type="dxa"/>
          </w:tcPr>
          <w:p w:rsidR="00D2569B" w:rsidRPr="00201D95" w:rsidRDefault="00D2569B" w:rsidP="00426E72">
            <w:pPr>
              <w:rPr>
                <w:sz w:val="18"/>
                <w:szCs w:val="18"/>
              </w:rPr>
            </w:pPr>
            <w:r>
              <w:rPr>
                <w:sz w:val="18"/>
                <w:szCs w:val="18"/>
              </w:rPr>
              <w:t>I</w:t>
            </w:r>
            <w:r w:rsidRPr="00201D95">
              <w:rPr>
                <w:sz w:val="18"/>
                <w:szCs w:val="18"/>
              </w:rPr>
              <w:t>nterest</w:t>
            </w:r>
            <w:r>
              <w:rPr>
                <w:sz w:val="18"/>
                <w:szCs w:val="18"/>
              </w:rPr>
              <w:t xml:space="preserve"> paid</w:t>
            </w:r>
          </w:p>
        </w:tc>
        <w:tc>
          <w:tcPr>
            <w:tcW w:w="851" w:type="dxa"/>
            <w:vAlign w:val="bottom"/>
          </w:tcPr>
          <w:p w:rsidR="00D2569B" w:rsidRPr="00B34608" w:rsidRDefault="00D2569B" w:rsidP="00983297">
            <w:pPr>
              <w:pStyle w:val="table1"/>
              <w:spacing w:line="240" w:lineRule="auto"/>
              <w:jc w:val="center"/>
              <w:rPr>
                <w:rFonts w:ascii="Times New Roman" w:hAnsi="Times New Roman"/>
                <w:sz w:val="18"/>
                <w:szCs w:val="18"/>
              </w:rPr>
            </w:pPr>
          </w:p>
        </w:tc>
        <w:tc>
          <w:tcPr>
            <w:tcW w:w="1420" w:type="dxa"/>
            <w:vAlign w:val="bottom"/>
          </w:tcPr>
          <w:p w:rsidR="00D2569B" w:rsidRPr="00B34608" w:rsidRDefault="00D2569B" w:rsidP="00885400">
            <w:pPr>
              <w:pStyle w:val="table1"/>
              <w:spacing w:line="240" w:lineRule="auto"/>
              <w:rPr>
                <w:rFonts w:ascii="Times New Roman" w:hAnsi="Times New Roman"/>
                <w:color w:val="000000"/>
                <w:sz w:val="18"/>
                <w:szCs w:val="18"/>
              </w:rPr>
            </w:pPr>
            <w:r>
              <w:rPr>
                <w:rFonts w:ascii="Times New Roman" w:hAnsi="Times New Roman"/>
                <w:color w:val="000000"/>
                <w:sz w:val="18"/>
                <w:szCs w:val="18"/>
              </w:rPr>
              <w:t>(1,</w:t>
            </w:r>
            <w:r w:rsidRPr="00B34608">
              <w:rPr>
                <w:rFonts w:ascii="Times New Roman" w:hAnsi="Times New Roman"/>
                <w:color w:val="000000"/>
                <w:sz w:val="18"/>
                <w:szCs w:val="18"/>
              </w:rPr>
              <w:t>128</w:t>
            </w:r>
            <w:r>
              <w:rPr>
                <w:rFonts w:ascii="Times New Roman" w:hAnsi="Times New Roman"/>
                <w:color w:val="000000"/>
                <w:sz w:val="18"/>
                <w:szCs w:val="18"/>
              </w:rPr>
              <w:t>,</w:t>
            </w:r>
            <w:r w:rsidRPr="00B34608">
              <w:rPr>
                <w:rFonts w:ascii="Times New Roman" w:hAnsi="Times New Roman"/>
                <w:color w:val="000000"/>
                <w:sz w:val="18"/>
                <w:szCs w:val="18"/>
              </w:rPr>
              <w:t>236)</w:t>
            </w:r>
          </w:p>
        </w:tc>
        <w:tc>
          <w:tcPr>
            <w:tcW w:w="1559" w:type="dxa"/>
            <w:vAlign w:val="bottom"/>
          </w:tcPr>
          <w:p w:rsidR="00D2569B" w:rsidRPr="00B34608" w:rsidRDefault="00D2569B" w:rsidP="00C70982">
            <w:pPr>
              <w:pStyle w:val="table1"/>
              <w:spacing w:line="240" w:lineRule="auto"/>
              <w:rPr>
                <w:rFonts w:ascii="Times New Roman" w:hAnsi="Times New Roman"/>
                <w:color w:val="000000"/>
                <w:sz w:val="18"/>
                <w:szCs w:val="18"/>
              </w:rPr>
            </w:pPr>
            <w:r>
              <w:rPr>
                <w:rFonts w:ascii="Times New Roman" w:hAnsi="Times New Roman"/>
                <w:color w:val="000000"/>
                <w:sz w:val="18"/>
                <w:szCs w:val="18"/>
              </w:rPr>
              <w:t>(1,</w:t>
            </w:r>
            <w:r w:rsidRPr="00B34608">
              <w:rPr>
                <w:rFonts w:ascii="Times New Roman" w:hAnsi="Times New Roman"/>
                <w:color w:val="000000"/>
                <w:sz w:val="18"/>
                <w:szCs w:val="18"/>
              </w:rPr>
              <w:t>718</w:t>
            </w:r>
            <w:r>
              <w:rPr>
                <w:rFonts w:ascii="Times New Roman" w:hAnsi="Times New Roman"/>
                <w:color w:val="000000"/>
                <w:sz w:val="18"/>
                <w:szCs w:val="18"/>
              </w:rPr>
              <w:t>,</w:t>
            </w:r>
            <w:r w:rsidRPr="00B34608">
              <w:rPr>
                <w:rFonts w:ascii="Times New Roman" w:hAnsi="Times New Roman"/>
                <w:color w:val="000000"/>
                <w:sz w:val="18"/>
                <w:szCs w:val="18"/>
              </w:rPr>
              <w:t>637)</w:t>
            </w:r>
          </w:p>
        </w:tc>
      </w:tr>
      <w:tr w:rsidR="00D2569B" w:rsidRPr="00B34608" w:rsidTr="008907A4">
        <w:trPr>
          <w:trHeight w:val="20"/>
        </w:trPr>
        <w:tc>
          <w:tcPr>
            <w:tcW w:w="851" w:type="dxa"/>
          </w:tcPr>
          <w:p w:rsidR="00D2569B" w:rsidRPr="00B34608" w:rsidRDefault="00D2569B" w:rsidP="001B13B8">
            <w:pPr>
              <w:rPr>
                <w:sz w:val="18"/>
                <w:szCs w:val="18"/>
              </w:rPr>
            </w:pPr>
            <w:r w:rsidRPr="00B34608">
              <w:rPr>
                <w:sz w:val="18"/>
                <w:szCs w:val="18"/>
              </w:rPr>
              <w:t>III.4</w:t>
            </w:r>
          </w:p>
        </w:tc>
        <w:tc>
          <w:tcPr>
            <w:tcW w:w="5667" w:type="dxa"/>
          </w:tcPr>
          <w:p w:rsidR="00D2569B" w:rsidRPr="00B34608" w:rsidRDefault="00D2569B" w:rsidP="00940FA9">
            <w:pPr>
              <w:rPr>
                <w:sz w:val="18"/>
                <w:szCs w:val="18"/>
              </w:rPr>
            </w:pPr>
            <w:r>
              <w:rPr>
                <w:sz w:val="18"/>
                <w:szCs w:val="18"/>
              </w:rPr>
              <w:t>Other payments</w:t>
            </w:r>
            <w:r w:rsidRPr="00B34608">
              <w:rPr>
                <w:sz w:val="18"/>
                <w:szCs w:val="18"/>
              </w:rPr>
              <w:t>:</w:t>
            </w:r>
          </w:p>
        </w:tc>
        <w:tc>
          <w:tcPr>
            <w:tcW w:w="851" w:type="dxa"/>
            <w:vAlign w:val="bottom"/>
          </w:tcPr>
          <w:p w:rsidR="00D2569B" w:rsidRPr="00B34608" w:rsidRDefault="00D2569B" w:rsidP="00983297">
            <w:pPr>
              <w:pStyle w:val="table1"/>
              <w:spacing w:line="240" w:lineRule="auto"/>
              <w:jc w:val="center"/>
              <w:rPr>
                <w:rFonts w:ascii="Times New Roman" w:hAnsi="Times New Roman"/>
                <w:sz w:val="18"/>
                <w:szCs w:val="18"/>
              </w:rPr>
            </w:pPr>
          </w:p>
        </w:tc>
        <w:tc>
          <w:tcPr>
            <w:tcW w:w="1420" w:type="dxa"/>
            <w:vAlign w:val="bottom"/>
          </w:tcPr>
          <w:p w:rsidR="00D2569B" w:rsidRPr="00B34608" w:rsidRDefault="00D2569B" w:rsidP="00B2345D">
            <w:pPr>
              <w:pStyle w:val="table1"/>
              <w:spacing w:line="240" w:lineRule="auto"/>
              <w:rPr>
                <w:rFonts w:ascii="Times New Roman" w:hAnsi="Times New Roman"/>
                <w:sz w:val="18"/>
                <w:szCs w:val="18"/>
              </w:rPr>
            </w:pPr>
            <w:r>
              <w:rPr>
                <w:rFonts w:ascii="Times New Roman" w:hAnsi="Times New Roman"/>
                <w:sz w:val="18"/>
                <w:szCs w:val="18"/>
              </w:rPr>
              <w:t>(99,</w:t>
            </w:r>
            <w:r w:rsidRPr="00B34608">
              <w:rPr>
                <w:rFonts w:ascii="Times New Roman" w:hAnsi="Times New Roman"/>
                <w:sz w:val="18"/>
                <w:szCs w:val="18"/>
              </w:rPr>
              <w:t>481</w:t>
            </w:r>
            <w:r>
              <w:rPr>
                <w:rFonts w:ascii="Times New Roman" w:hAnsi="Times New Roman"/>
                <w:sz w:val="18"/>
                <w:szCs w:val="18"/>
              </w:rPr>
              <w:t>,</w:t>
            </w:r>
            <w:r w:rsidRPr="00B34608">
              <w:rPr>
                <w:rFonts w:ascii="Times New Roman" w:hAnsi="Times New Roman"/>
                <w:sz w:val="18"/>
                <w:szCs w:val="18"/>
              </w:rPr>
              <w:t>420)</w:t>
            </w:r>
          </w:p>
        </w:tc>
        <w:tc>
          <w:tcPr>
            <w:tcW w:w="1559" w:type="dxa"/>
            <w:vAlign w:val="bottom"/>
          </w:tcPr>
          <w:p w:rsidR="00D2569B" w:rsidRPr="00B34608" w:rsidRDefault="00D2569B" w:rsidP="00C70982">
            <w:pPr>
              <w:pStyle w:val="table1"/>
              <w:spacing w:line="240" w:lineRule="auto"/>
              <w:rPr>
                <w:rFonts w:ascii="Times New Roman" w:hAnsi="Times New Roman"/>
                <w:sz w:val="18"/>
                <w:szCs w:val="18"/>
              </w:rPr>
            </w:pPr>
            <w:r>
              <w:rPr>
                <w:rFonts w:ascii="Times New Roman" w:hAnsi="Times New Roman"/>
                <w:sz w:val="18"/>
                <w:szCs w:val="18"/>
              </w:rPr>
              <w:t>(20,</w:t>
            </w:r>
            <w:r w:rsidRPr="00B34608">
              <w:rPr>
                <w:rFonts w:ascii="Times New Roman" w:hAnsi="Times New Roman"/>
                <w:sz w:val="18"/>
                <w:szCs w:val="18"/>
              </w:rPr>
              <w:t>451</w:t>
            </w:r>
            <w:r>
              <w:rPr>
                <w:rFonts w:ascii="Times New Roman" w:hAnsi="Times New Roman"/>
                <w:sz w:val="18"/>
                <w:szCs w:val="18"/>
              </w:rPr>
              <w:t>,</w:t>
            </w:r>
            <w:r w:rsidRPr="00B34608">
              <w:rPr>
                <w:rFonts w:ascii="Times New Roman" w:hAnsi="Times New Roman"/>
                <w:sz w:val="18"/>
                <w:szCs w:val="18"/>
              </w:rPr>
              <w:t>651)</w:t>
            </w:r>
          </w:p>
        </w:tc>
      </w:tr>
      <w:tr w:rsidR="00D2569B" w:rsidRPr="00B34608" w:rsidTr="008907A4">
        <w:trPr>
          <w:trHeight w:val="20"/>
        </w:trPr>
        <w:tc>
          <w:tcPr>
            <w:tcW w:w="851" w:type="dxa"/>
          </w:tcPr>
          <w:p w:rsidR="00D2569B" w:rsidRPr="00B34608" w:rsidRDefault="00D2569B" w:rsidP="00983297">
            <w:pPr>
              <w:rPr>
                <w:b/>
                <w:sz w:val="18"/>
                <w:szCs w:val="18"/>
              </w:rPr>
            </w:pPr>
            <w:r w:rsidRPr="00B34608">
              <w:rPr>
                <w:b/>
                <w:sz w:val="18"/>
                <w:szCs w:val="18"/>
              </w:rPr>
              <w:t>B.</w:t>
            </w:r>
          </w:p>
        </w:tc>
        <w:tc>
          <w:tcPr>
            <w:tcW w:w="5667" w:type="dxa"/>
          </w:tcPr>
          <w:p w:rsidR="00D2569B" w:rsidRPr="00B34608" w:rsidRDefault="00D2569B" w:rsidP="00940FA9">
            <w:pPr>
              <w:rPr>
                <w:b/>
                <w:sz w:val="18"/>
                <w:szCs w:val="18"/>
              </w:rPr>
            </w:pPr>
            <w:r w:rsidRPr="00F55C6D">
              <w:rPr>
                <w:b/>
                <w:bCs/>
                <w:sz w:val="18"/>
                <w:szCs w:val="18"/>
              </w:rPr>
              <w:t>CASH FLOWS FROM</w:t>
            </w:r>
            <w:r>
              <w:rPr>
                <w:b/>
                <w:sz w:val="18"/>
                <w:szCs w:val="18"/>
              </w:rPr>
              <w:t xml:space="preserve"> INVESTING ACTIVITIES</w:t>
            </w:r>
          </w:p>
        </w:tc>
        <w:tc>
          <w:tcPr>
            <w:tcW w:w="851" w:type="dxa"/>
            <w:vAlign w:val="bottom"/>
          </w:tcPr>
          <w:p w:rsidR="00D2569B" w:rsidRPr="00B34608" w:rsidRDefault="00D2569B" w:rsidP="00983297">
            <w:pPr>
              <w:pStyle w:val="table1"/>
              <w:spacing w:line="240" w:lineRule="auto"/>
              <w:jc w:val="center"/>
              <w:rPr>
                <w:rFonts w:ascii="Times New Roman" w:hAnsi="Times New Roman"/>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b/>
                <w:sz w:val="18"/>
                <w:szCs w:val="18"/>
              </w:rPr>
            </w:pPr>
            <w:r w:rsidRPr="00B34608">
              <w:rPr>
                <w:rFonts w:ascii="Times New Roman" w:hAnsi="Times New Roman"/>
                <w:b/>
                <w:sz w:val="18"/>
                <w:szCs w:val="18"/>
              </w:rPr>
              <w:t>38</w:t>
            </w:r>
          </w:p>
        </w:tc>
        <w:tc>
          <w:tcPr>
            <w:tcW w:w="1559" w:type="dxa"/>
            <w:vAlign w:val="bottom"/>
          </w:tcPr>
          <w:p w:rsidR="00D2569B" w:rsidRPr="00B34608" w:rsidRDefault="00D2569B" w:rsidP="00705BA7">
            <w:pPr>
              <w:pStyle w:val="table1"/>
              <w:spacing w:line="240" w:lineRule="auto"/>
              <w:rPr>
                <w:rFonts w:ascii="Times New Roman" w:hAnsi="Times New Roman"/>
                <w:b/>
                <w:sz w:val="18"/>
                <w:szCs w:val="18"/>
              </w:rPr>
            </w:pPr>
            <w:r w:rsidRPr="00B34608">
              <w:rPr>
                <w:rFonts w:ascii="Times New Roman" w:hAnsi="Times New Roman"/>
                <w:b/>
                <w:sz w:val="18"/>
                <w:szCs w:val="18"/>
              </w:rPr>
              <w:t>6991</w:t>
            </w:r>
          </w:p>
        </w:tc>
      </w:tr>
      <w:tr w:rsidR="00D2569B" w:rsidRPr="00B34608" w:rsidTr="008907A4">
        <w:trPr>
          <w:trHeight w:val="20"/>
        </w:trPr>
        <w:tc>
          <w:tcPr>
            <w:tcW w:w="851" w:type="dxa"/>
          </w:tcPr>
          <w:p w:rsidR="00D2569B" w:rsidRPr="00B34608" w:rsidRDefault="00D2569B" w:rsidP="001B13B8">
            <w:pPr>
              <w:rPr>
                <w:sz w:val="18"/>
                <w:szCs w:val="18"/>
              </w:rPr>
            </w:pPr>
            <w:r w:rsidRPr="00B34608">
              <w:rPr>
                <w:sz w:val="18"/>
                <w:szCs w:val="18"/>
              </w:rPr>
              <w:t>I.</w:t>
            </w:r>
          </w:p>
        </w:tc>
        <w:tc>
          <w:tcPr>
            <w:tcW w:w="5667" w:type="dxa"/>
          </w:tcPr>
          <w:p w:rsidR="00D2569B" w:rsidRPr="00B34608" w:rsidRDefault="00D2569B" w:rsidP="00940FA9">
            <w:pPr>
              <w:rPr>
                <w:sz w:val="18"/>
                <w:szCs w:val="18"/>
              </w:rPr>
            </w:pPr>
            <w:r>
              <w:rPr>
                <w:sz w:val="18"/>
                <w:szCs w:val="18"/>
              </w:rPr>
              <w:t>Acquisition of fixed assets</w:t>
            </w:r>
            <w:r w:rsidRPr="00B34608">
              <w:rPr>
                <w:sz w:val="18"/>
                <w:szCs w:val="18"/>
              </w:rPr>
              <w:t xml:space="preserve"> (</w:t>
            </w:r>
            <w:r>
              <w:rPr>
                <w:sz w:val="18"/>
                <w:szCs w:val="18"/>
              </w:rPr>
              <w:t>excl. financial) and biological assets</w:t>
            </w:r>
          </w:p>
        </w:tc>
        <w:tc>
          <w:tcPr>
            <w:tcW w:w="851" w:type="dxa"/>
            <w:vAlign w:val="bottom"/>
          </w:tcPr>
          <w:p w:rsidR="00D2569B" w:rsidRPr="00B34608" w:rsidRDefault="00D2569B" w:rsidP="00983297">
            <w:pPr>
              <w:pStyle w:val="table1"/>
              <w:spacing w:line="240" w:lineRule="auto"/>
              <w:jc w:val="center"/>
              <w:rPr>
                <w:rFonts w:ascii="Times New Roman" w:hAnsi="Times New Roman"/>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b/>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sz w:val="18"/>
                <w:szCs w:val="18"/>
              </w:rPr>
            </w:pPr>
          </w:p>
        </w:tc>
      </w:tr>
      <w:tr w:rsidR="00D2569B" w:rsidRPr="00B34608" w:rsidTr="008907A4">
        <w:trPr>
          <w:trHeight w:val="20"/>
        </w:trPr>
        <w:tc>
          <w:tcPr>
            <w:tcW w:w="851" w:type="dxa"/>
          </w:tcPr>
          <w:p w:rsidR="00D2569B" w:rsidRPr="00B34608" w:rsidRDefault="00D2569B" w:rsidP="001B13B8">
            <w:pPr>
              <w:rPr>
                <w:sz w:val="18"/>
                <w:szCs w:val="18"/>
              </w:rPr>
            </w:pPr>
            <w:r w:rsidRPr="00B34608">
              <w:rPr>
                <w:sz w:val="18"/>
                <w:szCs w:val="18"/>
              </w:rPr>
              <w:t>II.</w:t>
            </w:r>
          </w:p>
        </w:tc>
        <w:tc>
          <w:tcPr>
            <w:tcW w:w="5667" w:type="dxa"/>
          </w:tcPr>
          <w:p w:rsidR="00D2569B" w:rsidRPr="00B34608" w:rsidRDefault="00D2569B" w:rsidP="003D12C3">
            <w:pPr>
              <w:rPr>
                <w:sz w:val="18"/>
                <w:szCs w:val="18"/>
              </w:rPr>
            </w:pPr>
            <w:r>
              <w:rPr>
                <w:sz w:val="18"/>
                <w:szCs w:val="18"/>
              </w:rPr>
              <w:t>Disposal of fixed assets</w:t>
            </w:r>
            <w:r w:rsidRPr="00B34608">
              <w:rPr>
                <w:sz w:val="18"/>
                <w:szCs w:val="18"/>
              </w:rPr>
              <w:t xml:space="preserve"> (</w:t>
            </w:r>
            <w:r>
              <w:rPr>
                <w:sz w:val="18"/>
                <w:szCs w:val="18"/>
              </w:rPr>
              <w:t>excl. financial) and biological assets</w:t>
            </w:r>
          </w:p>
        </w:tc>
        <w:tc>
          <w:tcPr>
            <w:tcW w:w="851" w:type="dxa"/>
            <w:vAlign w:val="bottom"/>
          </w:tcPr>
          <w:p w:rsidR="00D2569B" w:rsidRPr="00B34608" w:rsidRDefault="00D2569B" w:rsidP="00983297">
            <w:pPr>
              <w:pStyle w:val="table1"/>
              <w:spacing w:line="240" w:lineRule="auto"/>
              <w:jc w:val="center"/>
              <w:rPr>
                <w:rFonts w:ascii="Times New Roman" w:hAnsi="Times New Roman"/>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sz w:val="18"/>
                <w:szCs w:val="18"/>
              </w:rPr>
            </w:pPr>
          </w:p>
        </w:tc>
      </w:tr>
      <w:tr w:rsidR="00D2569B" w:rsidRPr="00B34608" w:rsidTr="008907A4">
        <w:trPr>
          <w:trHeight w:val="20"/>
        </w:trPr>
        <w:tc>
          <w:tcPr>
            <w:tcW w:w="851" w:type="dxa"/>
          </w:tcPr>
          <w:p w:rsidR="00D2569B" w:rsidRPr="00B34608" w:rsidRDefault="00D2569B" w:rsidP="00983297">
            <w:pPr>
              <w:rPr>
                <w:b/>
                <w:sz w:val="18"/>
                <w:szCs w:val="18"/>
              </w:rPr>
            </w:pPr>
            <w:r w:rsidRPr="00B34608">
              <w:rPr>
                <w:sz w:val="18"/>
                <w:szCs w:val="18"/>
              </w:rPr>
              <w:t>III</w:t>
            </w:r>
            <w:r w:rsidRPr="00B34608">
              <w:rPr>
                <w:b/>
                <w:sz w:val="18"/>
                <w:szCs w:val="18"/>
              </w:rPr>
              <w:t>.</w:t>
            </w:r>
          </w:p>
        </w:tc>
        <w:tc>
          <w:tcPr>
            <w:tcW w:w="5667" w:type="dxa"/>
          </w:tcPr>
          <w:p w:rsidR="00D2569B" w:rsidRPr="00B34608" w:rsidRDefault="00D2569B" w:rsidP="003D12C3">
            <w:pPr>
              <w:rPr>
                <w:sz w:val="18"/>
                <w:szCs w:val="18"/>
              </w:rPr>
            </w:pPr>
            <w:r>
              <w:rPr>
                <w:sz w:val="18"/>
                <w:szCs w:val="18"/>
              </w:rPr>
              <w:t>Acquisition of long-term financial assets</w:t>
            </w:r>
          </w:p>
        </w:tc>
        <w:tc>
          <w:tcPr>
            <w:tcW w:w="851" w:type="dxa"/>
            <w:vAlign w:val="bottom"/>
          </w:tcPr>
          <w:p w:rsidR="00D2569B" w:rsidRPr="00B34608" w:rsidRDefault="00D2569B" w:rsidP="00983297">
            <w:pPr>
              <w:pStyle w:val="table1"/>
              <w:spacing w:line="240" w:lineRule="auto"/>
              <w:jc w:val="center"/>
              <w:rPr>
                <w:rFonts w:ascii="Times New Roman" w:hAnsi="Times New Roman"/>
                <w:b/>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b/>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b/>
                <w:sz w:val="18"/>
                <w:szCs w:val="18"/>
              </w:rPr>
            </w:pPr>
          </w:p>
        </w:tc>
      </w:tr>
      <w:tr w:rsidR="00D2569B" w:rsidRPr="00B34608" w:rsidTr="008907A4">
        <w:trPr>
          <w:trHeight w:val="20"/>
        </w:trPr>
        <w:tc>
          <w:tcPr>
            <w:tcW w:w="851" w:type="dxa"/>
          </w:tcPr>
          <w:p w:rsidR="00D2569B" w:rsidRPr="00B34608" w:rsidRDefault="00D2569B" w:rsidP="00983297">
            <w:pPr>
              <w:rPr>
                <w:sz w:val="18"/>
                <w:szCs w:val="18"/>
              </w:rPr>
            </w:pPr>
            <w:r w:rsidRPr="00B34608">
              <w:rPr>
                <w:sz w:val="18"/>
                <w:szCs w:val="18"/>
              </w:rPr>
              <w:t>IV.</w:t>
            </w:r>
          </w:p>
        </w:tc>
        <w:tc>
          <w:tcPr>
            <w:tcW w:w="5667" w:type="dxa"/>
          </w:tcPr>
          <w:p w:rsidR="00D2569B" w:rsidRPr="00B34608" w:rsidRDefault="00D2569B" w:rsidP="003D12C3">
            <w:pPr>
              <w:rPr>
                <w:sz w:val="18"/>
                <w:szCs w:val="18"/>
              </w:rPr>
            </w:pPr>
            <w:r>
              <w:rPr>
                <w:sz w:val="18"/>
                <w:szCs w:val="18"/>
              </w:rPr>
              <w:t>Disposal of long-term financial assets</w:t>
            </w:r>
          </w:p>
        </w:tc>
        <w:tc>
          <w:tcPr>
            <w:tcW w:w="851" w:type="dxa"/>
            <w:vAlign w:val="bottom"/>
          </w:tcPr>
          <w:p w:rsidR="00D2569B" w:rsidRPr="00B34608" w:rsidRDefault="00D2569B" w:rsidP="00983297">
            <w:pPr>
              <w:pStyle w:val="table1"/>
              <w:spacing w:line="240" w:lineRule="auto"/>
              <w:jc w:val="center"/>
              <w:rPr>
                <w:rFonts w:ascii="Times New Roman" w:hAnsi="Times New Roman"/>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sz w:val="18"/>
                <w:szCs w:val="18"/>
              </w:rPr>
            </w:pPr>
          </w:p>
        </w:tc>
      </w:tr>
      <w:tr w:rsidR="00D2569B" w:rsidRPr="00B34608" w:rsidTr="008907A4">
        <w:trPr>
          <w:trHeight w:val="20"/>
        </w:trPr>
        <w:tc>
          <w:tcPr>
            <w:tcW w:w="851" w:type="dxa"/>
          </w:tcPr>
          <w:p w:rsidR="00D2569B" w:rsidRPr="00B34608" w:rsidRDefault="00D2569B" w:rsidP="001B13B8">
            <w:pPr>
              <w:rPr>
                <w:sz w:val="18"/>
                <w:szCs w:val="18"/>
              </w:rPr>
            </w:pPr>
            <w:r w:rsidRPr="00B34608">
              <w:rPr>
                <w:sz w:val="18"/>
                <w:szCs w:val="18"/>
              </w:rPr>
              <w:t>V.</w:t>
            </w:r>
          </w:p>
        </w:tc>
        <w:tc>
          <w:tcPr>
            <w:tcW w:w="5667" w:type="dxa"/>
          </w:tcPr>
          <w:p w:rsidR="00D2569B" w:rsidRPr="00B34608" w:rsidRDefault="00D2569B" w:rsidP="00983297">
            <w:pPr>
              <w:rPr>
                <w:sz w:val="18"/>
                <w:szCs w:val="18"/>
              </w:rPr>
            </w:pPr>
            <w:r>
              <w:rPr>
                <w:sz w:val="18"/>
                <w:szCs w:val="18"/>
              </w:rPr>
              <w:t>(Increase) Decrease in time deposits</w:t>
            </w:r>
          </w:p>
        </w:tc>
        <w:tc>
          <w:tcPr>
            <w:tcW w:w="851" w:type="dxa"/>
            <w:vAlign w:val="bottom"/>
          </w:tcPr>
          <w:p w:rsidR="00D2569B" w:rsidRPr="00B34608" w:rsidRDefault="00D2569B" w:rsidP="00983297">
            <w:pPr>
              <w:pStyle w:val="table1"/>
              <w:spacing w:line="240" w:lineRule="auto"/>
              <w:jc w:val="center"/>
              <w:rPr>
                <w:rFonts w:ascii="Times New Roman" w:hAnsi="Times New Roman"/>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sz w:val="18"/>
                <w:szCs w:val="18"/>
              </w:rPr>
            </w:pPr>
          </w:p>
        </w:tc>
      </w:tr>
      <w:tr w:rsidR="00D2569B" w:rsidRPr="00B34608" w:rsidTr="008907A4">
        <w:trPr>
          <w:trHeight w:val="20"/>
        </w:trPr>
        <w:tc>
          <w:tcPr>
            <w:tcW w:w="851" w:type="dxa"/>
          </w:tcPr>
          <w:p w:rsidR="00D2569B" w:rsidRPr="00B34608" w:rsidRDefault="00D2569B" w:rsidP="00983297">
            <w:pPr>
              <w:rPr>
                <w:sz w:val="18"/>
                <w:szCs w:val="18"/>
              </w:rPr>
            </w:pPr>
            <w:r w:rsidRPr="00B34608">
              <w:rPr>
                <w:sz w:val="18"/>
                <w:szCs w:val="18"/>
              </w:rPr>
              <w:t xml:space="preserve">VI. </w:t>
            </w:r>
          </w:p>
        </w:tc>
        <w:tc>
          <w:tcPr>
            <w:tcW w:w="5667" w:type="dxa"/>
          </w:tcPr>
          <w:p w:rsidR="00D2569B" w:rsidRPr="00B34608" w:rsidRDefault="00D2569B" w:rsidP="00983297">
            <w:pPr>
              <w:rPr>
                <w:sz w:val="18"/>
                <w:szCs w:val="18"/>
              </w:rPr>
            </w:pPr>
            <w:r>
              <w:rPr>
                <w:sz w:val="18"/>
                <w:szCs w:val="18"/>
              </w:rPr>
              <w:t>Other cash flows from investing activities</w:t>
            </w:r>
          </w:p>
        </w:tc>
        <w:tc>
          <w:tcPr>
            <w:tcW w:w="851" w:type="dxa"/>
            <w:vAlign w:val="bottom"/>
          </w:tcPr>
          <w:p w:rsidR="00D2569B" w:rsidRPr="00B34608" w:rsidRDefault="00D2569B" w:rsidP="00983297">
            <w:pPr>
              <w:pStyle w:val="table1"/>
              <w:spacing w:line="240" w:lineRule="auto"/>
              <w:jc w:val="center"/>
              <w:rPr>
                <w:rFonts w:ascii="Times New Roman" w:hAnsi="Times New Roman"/>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sz w:val="18"/>
                <w:szCs w:val="18"/>
              </w:rPr>
            </w:pPr>
            <w:r w:rsidRPr="00B34608">
              <w:rPr>
                <w:rFonts w:ascii="Times New Roman" w:hAnsi="Times New Roman"/>
                <w:sz w:val="18"/>
                <w:szCs w:val="18"/>
              </w:rPr>
              <w:t>38</w:t>
            </w:r>
          </w:p>
        </w:tc>
        <w:tc>
          <w:tcPr>
            <w:tcW w:w="1559" w:type="dxa"/>
            <w:vAlign w:val="bottom"/>
          </w:tcPr>
          <w:p w:rsidR="00D2569B" w:rsidRPr="00B34608" w:rsidRDefault="00D2569B" w:rsidP="00705BA7">
            <w:pPr>
              <w:pStyle w:val="table1"/>
              <w:spacing w:line="240" w:lineRule="auto"/>
              <w:rPr>
                <w:rFonts w:ascii="Times New Roman" w:hAnsi="Times New Roman"/>
                <w:sz w:val="18"/>
                <w:szCs w:val="18"/>
              </w:rPr>
            </w:pPr>
            <w:r w:rsidRPr="00B34608">
              <w:rPr>
                <w:rFonts w:ascii="Times New Roman" w:hAnsi="Times New Roman"/>
                <w:sz w:val="18"/>
                <w:szCs w:val="18"/>
              </w:rPr>
              <w:t>6</w:t>
            </w:r>
            <w:r>
              <w:rPr>
                <w:rFonts w:ascii="Times New Roman" w:hAnsi="Times New Roman"/>
                <w:sz w:val="18"/>
                <w:szCs w:val="18"/>
              </w:rPr>
              <w:t>,</w:t>
            </w:r>
            <w:r w:rsidRPr="00B34608">
              <w:rPr>
                <w:rFonts w:ascii="Times New Roman" w:hAnsi="Times New Roman"/>
                <w:sz w:val="18"/>
                <w:szCs w:val="18"/>
              </w:rPr>
              <w:t>991</w:t>
            </w:r>
          </w:p>
        </w:tc>
      </w:tr>
      <w:tr w:rsidR="00D2569B" w:rsidRPr="00B34608" w:rsidTr="008907A4">
        <w:trPr>
          <w:trHeight w:val="20"/>
        </w:trPr>
        <w:tc>
          <w:tcPr>
            <w:tcW w:w="851" w:type="dxa"/>
          </w:tcPr>
          <w:p w:rsidR="00D2569B" w:rsidRPr="00B34608" w:rsidRDefault="00D2569B" w:rsidP="00983297">
            <w:pPr>
              <w:rPr>
                <w:b/>
                <w:sz w:val="18"/>
                <w:szCs w:val="18"/>
              </w:rPr>
            </w:pPr>
            <w:r w:rsidRPr="00B34608">
              <w:rPr>
                <w:b/>
                <w:sz w:val="18"/>
                <w:szCs w:val="18"/>
              </w:rPr>
              <w:t>C.</w:t>
            </w:r>
          </w:p>
        </w:tc>
        <w:tc>
          <w:tcPr>
            <w:tcW w:w="5667" w:type="dxa"/>
          </w:tcPr>
          <w:p w:rsidR="00D2569B" w:rsidRPr="00B34608" w:rsidRDefault="00D2569B" w:rsidP="003D12C3">
            <w:pPr>
              <w:rPr>
                <w:b/>
                <w:sz w:val="18"/>
                <w:szCs w:val="18"/>
              </w:rPr>
            </w:pPr>
            <w:r w:rsidRPr="00F55C6D">
              <w:rPr>
                <w:b/>
                <w:bCs/>
                <w:sz w:val="18"/>
                <w:szCs w:val="18"/>
              </w:rPr>
              <w:t>CASH FLOWS FROM</w:t>
            </w:r>
            <w:r>
              <w:rPr>
                <w:b/>
                <w:sz w:val="18"/>
                <w:szCs w:val="18"/>
              </w:rPr>
              <w:t xml:space="preserve"> FINANCING ACTIVITIES</w:t>
            </w:r>
          </w:p>
        </w:tc>
        <w:tc>
          <w:tcPr>
            <w:tcW w:w="851" w:type="dxa"/>
            <w:vAlign w:val="bottom"/>
          </w:tcPr>
          <w:p w:rsidR="00D2569B" w:rsidRPr="00B34608" w:rsidRDefault="00D2569B" w:rsidP="00983297">
            <w:pPr>
              <w:pStyle w:val="table1"/>
              <w:spacing w:line="240" w:lineRule="auto"/>
              <w:jc w:val="center"/>
              <w:rPr>
                <w:rFonts w:ascii="Times New Roman" w:hAnsi="Times New Roman"/>
                <w:b/>
                <w:color w:val="000000"/>
                <w:sz w:val="18"/>
                <w:szCs w:val="18"/>
              </w:rPr>
            </w:pPr>
          </w:p>
        </w:tc>
        <w:tc>
          <w:tcPr>
            <w:tcW w:w="1420" w:type="dxa"/>
            <w:vAlign w:val="bottom"/>
          </w:tcPr>
          <w:p w:rsidR="00D2569B" w:rsidRPr="00B34608" w:rsidRDefault="00D2569B" w:rsidP="00885400">
            <w:pPr>
              <w:pStyle w:val="table1"/>
              <w:spacing w:line="240" w:lineRule="auto"/>
              <w:rPr>
                <w:rFonts w:ascii="Times New Roman" w:hAnsi="Times New Roman"/>
                <w:b/>
                <w:color w:val="000000"/>
                <w:sz w:val="18"/>
                <w:szCs w:val="18"/>
              </w:rPr>
            </w:pPr>
          </w:p>
        </w:tc>
        <w:tc>
          <w:tcPr>
            <w:tcW w:w="1559" w:type="dxa"/>
            <w:vAlign w:val="bottom"/>
          </w:tcPr>
          <w:p w:rsidR="00D2569B" w:rsidRPr="00B34608" w:rsidRDefault="00D2569B" w:rsidP="00922D7B">
            <w:pPr>
              <w:pStyle w:val="table1"/>
              <w:spacing w:line="240" w:lineRule="auto"/>
              <w:rPr>
                <w:rFonts w:ascii="Times New Roman" w:hAnsi="Times New Roman"/>
                <w:b/>
                <w:color w:val="000000"/>
                <w:sz w:val="18"/>
                <w:szCs w:val="18"/>
              </w:rPr>
            </w:pPr>
            <w:r>
              <w:rPr>
                <w:rFonts w:ascii="Times New Roman" w:hAnsi="Times New Roman"/>
                <w:b/>
                <w:color w:val="000000"/>
                <w:sz w:val="18"/>
                <w:szCs w:val="18"/>
              </w:rPr>
              <w:t>(20,</w:t>
            </w:r>
            <w:r w:rsidRPr="00B34608">
              <w:rPr>
                <w:rFonts w:ascii="Times New Roman" w:hAnsi="Times New Roman"/>
                <w:b/>
                <w:color w:val="000000"/>
                <w:sz w:val="18"/>
                <w:szCs w:val="18"/>
              </w:rPr>
              <w:t>525</w:t>
            </w:r>
            <w:r>
              <w:rPr>
                <w:rFonts w:ascii="Times New Roman" w:hAnsi="Times New Roman"/>
                <w:b/>
                <w:color w:val="000000"/>
                <w:sz w:val="18"/>
                <w:szCs w:val="18"/>
              </w:rPr>
              <w:t>,</w:t>
            </w:r>
            <w:r w:rsidRPr="00B34608">
              <w:rPr>
                <w:rFonts w:ascii="Times New Roman" w:hAnsi="Times New Roman"/>
                <w:b/>
                <w:color w:val="000000"/>
                <w:sz w:val="18"/>
                <w:szCs w:val="18"/>
              </w:rPr>
              <w:t>137)</w:t>
            </w:r>
          </w:p>
        </w:tc>
      </w:tr>
      <w:tr w:rsidR="00D2569B" w:rsidRPr="00B34608" w:rsidTr="008907A4">
        <w:trPr>
          <w:trHeight w:val="20"/>
        </w:trPr>
        <w:tc>
          <w:tcPr>
            <w:tcW w:w="851" w:type="dxa"/>
          </w:tcPr>
          <w:p w:rsidR="00D2569B" w:rsidRPr="00B34608" w:rsidRDefault="00D2569B" w:rsidP="00983297">
            <w:pPr>
              <w:rPr>
                <w:sz w:val="18"/>
                <w:szCs w:val="18"/>
              </w:rPr>
            </w:pPr>
            <w:r w:rsidRPr="00B34608">
              <w:rPr>
                <w:sz w:val="18"/>
                <w:szCs w:val="18"/>
              </w:rPr>
              <w:t>I.</w:t>
            </w:r>
          </w:p>
        </w:tc>
        <w:tc>
          <w:tcPr>
            <w:tcW w:w="5667" w:type="dxa"/>
          </w:tcPr>
          <w:p w:rsidR="00D2569B" w:rsidRPr="00B34608" w:rsidRDefault="00D2569B" w:rsidP="00983297">
            <w:pPr>
              <w:rPr>
                <w:sz w:val="18"/>
                <w:szCs w:val="18"/>
              </w:rPr>
            </w:pPr>
            <w:r>
              <w:rPr>
                <w:sz w:val="18"/>
                <w:szCs w:val="18"/>
              </w:rPr>
              <w:t>Receipts from taken loans</w:t>
            </w:r>
          </w:p>
        </w:tc>
        <w:tc>
          <w:tcPr>
            <w:tcW w:w="851" w:type="dxa"/>
            <w:vAlign w:val="bottom"/>
          </w:tcPr>
          <w:p w:rsidR="00D2569B" w:rsidRPr="00B34608" w:rsidRDefault="00D2569B" w:rsidP="00983297">
            <w:pPr>
              <w:pStyle w:val="table1"/>
              <w:spacing w:line="240" w:lineRule="auto"/>
              <w:jc w:val="center"/>
              <w:rPr>
                <w:rFonts w:ascii="Times New Roman" w:hAnsi="Times New Roman"/>
                <w:b/>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b/>
                <w:color w:val="000000"/>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b/>
                <w:color w:val="000000"/>
                <w:sz w:val="18"/>
                <w:szCs w:val="18"/>
              </w:rPr>
            </w:pPr>
          </w:p>
        </w:tc>
      </w:tr>
      <w:tr w:rsidR="00D2569B" w:rsidRPr="00B34608" w:rsidTr="008907A4">
        <w:trPr>
          <w:trHeight w:val="20"/>
        </w:trPr>
        <w:tc>
          <w:tcPr>
            <w:tcW w:w="851" w:type="dxa"/>
          </w:tcPr>
          <w:p w:rsidR="00D2569B" w:rsidRPr="00B34608" w:rsidRDefault="00D2569B" w:rsidP="00983297">
            <w:pPr>
              <w:rPr>
                <w:sz w:val="18"/>
                <w:szCs w:val="18"/>
              </w:rPr>
            </w:pPr>
            <w:r w:rsidRPr="00B34608">
              <w:rPr>
                <w:sz w:val="18"/>
                <w:szCs w:val="18"/>
              </w:rPr>
              <w:t>II.</w:t>
            </w:r>
          </w:p>
        </w:tc>
        <w:tc>
          <w:tcPr>
            <w:tcW w:w="5667" w:type="dxa"/>
          </w:tcPr>
          <w:p w:rsidR="00D2569B" w:rsidRPr="00B34608" w:rsidRDefault="00D2569B" w:rsidP="003D12C3">
            <w:pPr>
              <w:rPr>
                <w:sz w:val="18"/>
                <w:szCs w:val="18"/>
              </w:rPr>
            </w:pPr>
            <w:r>
              <w:rPr>
                <w:sz w:val="18"/>
                <w:szCs w:val="18"/>
              </w:rPr>
              <w:t>Repayment of taken loans</w:t>
            </w:r>
          </w:p>
        </w:tc>
        <w:tc>
          <w:tcPr>
            <w:tcW w:w="851" w:type="dxa"/>
            <w:vAlign w:val="bottom"/>
          </w:tcPr>
          <w:p w:rsidR="00D2569B" w:rsidRPr="00B34608" w:rsidRDefault="00D2569B" w:rsidP="00983297">
            <w:pPr>
              <w:pStyle w:val="table1"/>
              <w:spacing w:line="240" w:lineRule="auto"/>
              <w:jc w:val="center"/>
              <w:rPr>
                <w:rFonts w:ascii="Times New Roman" w:hAnsi="Times New Roman"/>
                <w:b/>
                <w:color w:val="000000"/>
                <w:sz w:val="18"/>
                <w:szCs w:val="18"/>
              </w:rPr>
            </w:pPr>
          </w:p>
        </w:tc>
        <w:tc>
          <w:tcPr>
            <w:tcW w:w="1420" w:type="dxa"/>
            <w:vAlign w:val="bottom"/>
          </w:tcPr>
          <w:p w:rsidR="00D2569B" w:rsidRPr="00B34608" w:rsidRDefault="00D2569B" w:rsidP="00885400">
            <w:pPr>
              <w:pStyle w:val="table1"/>
              <w:spacing w:line="240" w:lineRule="auto"/>
              <w:rPr>
                <w:rFonts w:ascii="Times New Roman" w:hAnsi="Times New Roman"/>
                <w:color w:val="000000"/>
                <w:sz w:val="18"/>
                <w:szCs w:val="18"/>
              </w:rPr>
            </w:pPr>
          </w:p>
        </w:tc>
        <w:tc>
          <w:tcPr>
            <w:tcW w:w="1559" w:type="dxa"/>
            <w:vAlign w:val="bottom"/>
          </w:tcPr>
          <w:p w:rsidR="00D2569B" w:rsidRPr="00B34608" w:rsidRDefault="00D2569B" w:rsidP="00922D7B">
            <w:pPr>
              <w:pStyle w:val="table1"/>
              <w:spacing w:line="240" w:lineRule="auto"/>
              <w:rPr>
                <w:rFonts w:ascii="Times New Roman" w:hAnsi="Times New Roman"/>
                <w:color w:val="000000"/>
                <w:sz w:val="18"/>
                <w:szCs w:val="18"/>
              </w:rPr>
            </w:pPr>
            <w:r w:rsidRPr="00B34608">
              <w:rPr>
                <w:rFonts w:ascii="Times New Roman" w:hAnsi="Times New Roman"/>
                <w:color w:val="000000"/>
                <w:sz w:val="18"/>
                <w:szCs w:val="18"/>
              </w:rPr>
              <w:t>(20</w:t>
            </w:r>
            <w:r>
              <w:rPr>
                <w:rFonts w:ascii="Times New Roman" w:hAnsi="Times New Roman"/>
                <w:color w:val="000000"/>
                <w:sz w:val="18"/>
                <w:szCs w:val="18"/>
              </w:rPr>
              <w:t>,</w:t>
            </w:r>
            <w:r w:rsidRPr="00B34608">
              <w:rPr>
                <w:rFonts w:ascii="Times New Roman" w:hAnsi="Times New Roman"/>
                <w:color w:val="000000"/>
                <w:sz w:val="18"/>
                <w:szCs w:val="18"/>
              </w:rPr>
              <w:t>525</w:t>
            </w:r>
            <w:r>
              <w:rPr>
                <w:rFonts w:ascii="Times New Roman" w:hAnsi="Times New Roman"/>
                <w:color w:val="000000"/>
                <w:sz w:val="18"/>
                <w:szCs w:val="18"/>
              </w:rPr>
              <w:t>,</w:t>
            </w:r>
            <w:r w:rsidRPr="00B34608">
              <w:rPr>
                <w:rFonts w:ascii="Times New Roman" w:hAnsi="Times New Roman"/>
                <w:color w:val="000000"/>
                <w:sz w:val="18"/>
                <w:szCs w:val="18"/>
              </w:rPr>
              <w:t>137)</w:t>
            </w:r>
          </w:p>
        </w:tc>
      </w:tr>
      <w:tr w:rsidR="00D2569B" w:rsidRPr="00B34608" w:rsidTr="008907A4">
        <w:trPr>
          <w:trHeight w:val="20"/>
        </w:trPr>
        <w:tc>
          <w:tcPr>
            <w:tcW w:w="851" w:type="dxa"/>
          </w:tcPr>
          <w:p w:rsidR="00D2569B" w:rsidRPr="00B34608" w:rsidRDefault="00D2569B" w:rsidP="009F20FD">
            <w:pPr>
              <w:rPr>
                <w:sz w:val="18"/>
                <w:szCs w:val="18"/>
              </w:rPr>
            </w:pPr>
            <w:r w:rsidRPr="00B34608">
              <w:rPr>
                <w:sz w:val="18"/>
                <w:szCs w:val="18"/>
              </w:rPr>
              <w:t>III.</w:t>
            </w:r>
          </w:p>
        </w:tc>
        <w:tc>
          <w:tcPr>
            <w:tcW w:w="5667" w:type="dxa"/>
          </w:tcPr>
          <w:p w:rsidR="00D2569B" w:rsidRPr="00B34608" w:rsidRDefault="00D2569B" w:rsidP="009F20FD">
            <w:pPr>
              <w:rPr>
                <w:sz w:val="18"/>
                <w:szCs w:val="18"/>
              </w:rPr>
            </w:pPr>
            <w:r>
              <w:rPr>
                <w:sz w:val="18"/>
                <w:szCs w:val="18"/>
              </w:rPr>
              <w:t>Other cash flows from financing activities</w:t>
            </w:r>
          </w:p>
        </w:tc>
        <w:tc>
          <w:tcPr>
            <w:tcW w:w="851" w:type="dxa"/>
            <w:vAlign w:val="bottom"/>
          </w:tcPr>
          <w:p w:rsidR="00D2569B" w:rsidRPr="00B34608" w:rsidRDefault="00D2569B" w:rsidP="00983297">
            <w:pPr>
              <w:pStyle w:val="table1"/>
              <w:spacing w:line="240" w:lineRule="auto"/>
              <w:jc w:val="center"/>
              <w:rPr>
                <w:rFonts w:ascii="Times New Roman" w:hAnsi="Times New Roman"/>
                <w:b/>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color w:val="000000"/>
                <w:sz w:val="18"/>
                <w:szCs w:val="18"/>
              </w:rPr>
            </w:pPr>
          </w:p>
        </w:tc>
      </w:tr>
      <w:tr w:rsidR="00D2569B" w:rsidRPr="00B34608" w:rsidTr="008907A4">
        <w:trPr>
          <w:trHeight w:val="20"/>
        </w:trPr>
        <w:tc>
          <w:tcPr>
            <w:tcW w:w="851" w:type="dxa"/>
          </w:tcPr>
          <w:p w:rsidR="00D2569B" w:rsidRPr="00B34608" w:rsidRDefault="00D2569B" w:rsidP="00983297">
            <w:pPr>
              <w:rPr>
                <w:b/>
                <w:sz w:val="18"/>
                <w:szCs w:val="18"/>
              </w:rPr>
            </w:pPr>
            <w:r w:rsidRPr="00B34608">
              <w:rPr>
                <w:b/>
                <w:sz w:val="18"/>
                <w:szCs w:val="18"/>
              </w:rPr>
              <w:t>D.</w:t>
            </w:r>
          </w:p>
        </w:tc>
        <w:tc>
          <w:tcPr>
            <w:tcW w:w="5667" w:type="dxa"/>
          </w:tcPr>
          <w:p w:rsidR="00D2569B" w:rsidRPr="00B34608" w:rsidRDefault="00D2569B" w:rsidP="003D35DD">
            <w:pPr>
              <w:rPr>
                <w:b/>
                <w:sz w:val="18"/>
                <w:szCs w:val="18"/>
              </w:rPr>
            </w:pPr>
            <w:r>
              <w:rPr>
                <w:b/>
                <w:sz w:val="18"/>
                <w:szCs w:val="18"/>
              </w:rPr>
              <w:t xml:space="preserve">EFFECTS OF EXCHANGE RATE CHANGES ON BALANCE OF CASH AND CASH EQUIVALENTS </w:t>
            </w:r>
          </w:p>
        </w:tc>
        <w:tc>
          <w:tcPr>
            <w:tcW w:w="851" w:type="dxa"/>
            <w:vAlign w:val="bottom"/>
          </w:tcPr>
          <w:p w:rsidR="00D2569B" w:rsidRPr="00B34608" w:rsidRDefault="00D2569B" w:rsidP="00983297">
            <w:pPr>
              <w:pStyle w:val="table1"/>
              <w:spacing w:line="240" w:lineRule="auto"/>
              <w:jc w:val="center"/>
              <w:rPr>
                <w:rFonts w:ascii="Times New Roman" w:hAnsi="Times New Roman"/>
                <w:b/>
                <w:color w:val="000000"/>
                <w:sz w:val="18"/>
                <w:szCs w:val="18"/>
              </w:rPr>
            </w:pPr>
          </w:p>
        </w:tc>
        <w:tc>
          <w:tcPr>
            <w:tcW w:w="1420" w:type="dxa"/>
            <w:vAlign w:val="bottom"/>
          </w:tcPr>
          <w:p w:rsidR="00D2569B" w:rsidRPr="00B34608" w:rsidRDefault="00D2569B" w:rsidP="00705BA7">
            <w:pPr>
              <w:pStyle w:val="table1"/>
              <w:spacing w:line="240" w:lineRule="auto"/>
              <w:rPr>
                <w:rFonts w:ascii="Times New Roman" w:hAnsi="Times New Roman"/>
                <w:b/>
                <w:color w:val="000000"/>
                <w:sz w:val="18"/>
                <w:szCs w:val="18"/>
              </w:rPr>
            </w:pPr>
          </w:p>
        </w:tc>
        <w:tc>
          <w:tcPr>
            <w:tcW w:w="1559" w:type="dxa"/>
            <w:vAlign w:val="bottom"/>
          </w:tcPr>
          <w:p w:rsidR="00D2569B" w:rsidRPr="00B34608" w:rsidRDefault="00D2569B" w:rsidP="00705BA7">
            <w:pPr>
              <w:pStyle w:val="table1"/>
              <w:spacing w:line="240" w:lineRule="auto"/>
              <w:rPr>
                <w:rFonts w:ascii="Times New Roman" w:hAnsi="Times New Roman"/>
                <w:b/>
                <w:color w:val="000000"/>
                <w:sz w:val="18"/>
                <w:szCs w:val="18"/>
              </w:rPr>
            </w:pPr>
          </w:p>
        </w:tc>
      </w:tr>
      <w:tr w:rsidR="00D2569B" w:rsidRPr="00B34608" w:rsidTr="008907A4">
        <w:trPr>
          <w:trHeight w:val="20"/>
        </w:trPr>
        <w:tc>
          <w:tcPr>
            <w:tcW w:w="851" w:type="dxa"/>
          </w:tcPr>
          <w:p w:rsidR="00D2569B" w:rsidRPr="00B34608" w:rsidRDefault="00D2569B" w:rsidP="00983297">
            <w:pPr>
              <w:rPr>
                <w:sz w:val="18"/>
                <w:szCs w:val="18"/>
              </w:rPr>
            </w:pPr>
          </w:p>
        </w:tc>
        <w:tc>
          <w:tcPr>
            <w:tcW w:w="5667" w:type="dxa"/>
          </w:tcPr>
          <w:p w:rsidR="00D2569B" w:rsidRPr="00B34608" w:rsidRDefault="00D2569B" w:rsidP="00983297">
            <w:pPr>
              <w:rPr>
                <w:sz w:val="18"/>
                <w:szCs w:val="18"/>
              </w:rPr>
            </w:pPr>
            <w:r>
              <w:rPr>
                <w:sz w:val="18"/>
                <w:szCs w:val="18"/>
              </w:rPr>
              <w:t>(Increase) Decrease in cash and cash equivalents</w:t>
            </w:r>
          </w:p>
        </w:tc>
        <w:tc>
          <w:tcPr>
            <w:tcW w:w="851" w:type="dxa"/>
            <w:vAlign w:val="bottom"/>
          </w:tcPr>
          <w:p w:rsidR="00D2569B" w:rsidRPr="00B34608" w:rsidRDefault="00D2569B" w:rsidP="00983297">
            <w:pPr>
              <w:pStyle w:val="table1"/>
              <w:spacing w:line="240" w:lineRule="auto"/>
              <w:jc w:val="center"/>
              <w:rPr>
                <w:rFonts w:ascii="Times New Roman" w:hAnsi="Times New Roman"/>
                <w:b/>
                <w:color w:val="000000"/>
                <w:sz w:val="18"/>
                <w:szCs w:val="18"/>
              </w:rPr>
            </w:pPr>
          </w:p>
        </w:tc>
        <w:tc>
          <w:tcPr>
            <w:tcW w:w="1420" w:type="dxa"/>
            <w:vAlign w:val="bottom"/>
          </w:tcPr>
          <w:p w:rsidR="00D2569B" w:rsidRPr="00B34608" w:rsidRDefault="00D2569B" w:rsidP="003B7422">
            <w:pPr>
              <w:pStyle w:val="table1"/>
              <w:spacing w:line="240" w:lineRule="auto"/>
              <w:rPr>
                <w:rFonts w:ascii="Times New Roman" w:hAnsi="Times New Roman"/>
                <w:color w:val="000000"/>
                <w:sz w:val="18"/>
                <w:szCs w:val="18"/>
              </w:rPr>
            </w:pPr>
            <w:r w:rsidRPr="00B34608">
              <w:rPr>
                <w:rFonts w:ascii="Times New Roman" w:hAnsi="Times New Roman"/>
                <w:color w:val="000000"/>
                <w:sz w:val="18"/>
                <w:szCs w:val="18"/>
              </w:rPr>
              <w:t>(30</w:t>
            </w:r>
            <w:r>
              <w:rPr>
                <w:rFonts w:ascii="Times New Roman" w:hAnsi="Times New Roman"/>
                <w:color w:val="000000"/>
                <w:sz w:val="18"/>
                <w:szCs w:val="18"/>
              </w:rPr>
              <w:t>,</w:t>
            </w:r>
            <w:r w:rsidRPr="00B34608">
              <w:rPr>
                <w:rFonts w:ascii="Times New Roman" w:hAnsi="Times New Roman"/>
                <w:color w:val="000000"/>
                <w:sz w:val="18"/>
                <w:szCs w:val="18"/>
              </w:rPr>
              <w:t>670</w:t>
            </w:r>
            <w:r>
              <w:rPr>
                <w:rFonts w:ascii="Times New Roman" w:hAnsi="Times New Roman"/>
                <w:color w:val="000000"/>
                <w:sz w:val="18"/>
                <w:szCs w:val="18"/>
              </w:rPr>
              <w:t>,</w:t>
            </w:r>
            <w:r w:rsidRPr="00B34608">
              <w:rPr>
                <w:rFonts w:ascii="Times New Roman" w:hAnsi="Times New Roman"/>
                <w:color w:val="000000"/>
                <w:sz w:val="18"/>
                <w:szCs w:val="18"/>
              </w:rPr>
              <w:t>784)</w:t>
            </w:r>
          </w:p>
        </w:tc>
        <w:tc>
          <w:tcPr>
            <w:tcW w:w="1559" w:type="dxa"/>
            <w:vAlign w:val="bottom"/>
          </w:tcPr>
          <w:p w:rsidR="00D2569B" w:rsidRPr="00B34608" w:rsidRDefault="00D2569B" w:rsidP="001E5202">
            <w:pPr>
              <w:pStyle w:val="table1"/>
              <w:spacing w:line="240" w:lineRule="auto"/>
              <w:rPr>
                <w:rFonts w:ascii="Times New Roman" w:hAnsi="Times New Roman"/>
                <w:color w:val="000000"/>
                <w:sz w:val="18"/>
                <w:szCs w:val="18"/>
              </w:rPr>
            </w:pPr>
            <w:r w:rsidRPr="00B34608">
              <w:rPr>
                <w:rFonts w:ascii="Times New Roman" w:hAnsi="Times New Roman"/>
                <w:color w:val="000000"/>
                <w:sz w:val="18"/>
                <w:szCs w:val="18"/>
              </w:rPr>
              <w:t>76</w:t>
            </w:r>
            <w:r>
              <w:rPr>
                <w:rFonts w:ascii="Times New Roman" w:hAnsi="Times New Roman"/>
                <w:color w:val="000000"/>
                <w:sz w:val="18"/>
                <w:szCs w:val="18"/>
              </w:rPr>
              <w:t>,</w:t>
            </w:r>
            <w:r w:rsidRPr="00B34608">
              <w:rPr>
                <w:rFonts w:ascii="Times New Roman" w:hAnsi="Times New Roman"/>
                <w:color w:val="000000"/>
                <w:sz w:val="18"/>
                <w:szCs w:val="18"/>
              </w:rPr>
              <w:t>840</w:t>
            </w:r>
            <w:r>
              <w:rPr>
                <w:rFonts w:ascii="Times New Roman" w:hAnsi="Times New Roman"/>
                <w:color w:val="000000"/>
                <w:sz w:val="18"/>
                <w:szCs w:val="18"/>
              </w:rPr>
              <w:t>,</w:t>
            </w:r>
            <w:r w:rsidRPr="00B34608">
              <w:rPr>
                <w:rFonts w:ascii="Times New Roman" w:hAnsi="Times New Roman"/>
                <w:color w:val="000000"/>
                <w:sz w:val="18"/>
                <w:szCs w:val="18"/>
              </w:rPr>
              <w:t>026</w:t>
            </w:r>
          </w:p>
        </w:tc>
      </w:tr>
      <w:tr w:rsidR="00D2569B" w:rsidRPr="00B34608" w:rsidTr="008907A4">
        <w:trPr>
          <w:trHeight w:val="20"/>
        </w:trPr>
        <w:tc>
          <w:tcPr>
            <w:tcW w:w="851" w:type="dxa"/>
          </w:tcPr>
          <w:p w:rsidR="00D2569B" w:rsidRPr="00B34608" w:rsidRDefault="00D2569B" w:rsidP="00983297">
            <w:pPr>
              <w:rPr>
                <w:sz w:val="18"/>
                <w:szCs w:val="18"/>
              </w:rPr>
            </w:pPr>
          </w:p>
        </w:tc>
        <w:tc>
          <w:tcPr>
            <w:tcW w:w="5667" w:type="dxa"/>
          </w:tcPr>
          <w:p w:rsidR="00D2569B" w:rsidRPr="00B34608" w:rsidRDefault="00D2569B" w:rsidP="00983297">
            <w:pPr>
              <w:rPr>
                <w:sz w:val="18"/>
                <w:szCs w:val="18"/>
              </w:rPr>
            </w:pPr>
            <w:r>
              <w:rPr>
                <w:sz w:val="18"/>
                <w:szCs w:val="18"/>
              </w:rPr>
              <w:t>Cash and cash equivalents</w:t>
            </w:r>
            <w:r w:rsidRPr="00B34608">
              <w:rPr>
                <w:sz w:val="18"/>
                <w:szCs w:val="18"/>
              </w:rPr>
              <w:t xml:space="preserve"> </w:t>
            </w:r>
            <w:r>
              <w:rPr>
                <w:sz w:val="18"/>
                <w:szCs w:val="18"/>
              </w:rPr>
              <w:t>at the beginning of the reporting period</w:t>
            </w:r>
          </w:p>
        </w:tc>
        <w:tc>
          <w:tcPr>
            <w:tcW w:w="851" w:type="dxa"/>
            <w:vAlign w:val="bottom"/>
          </w:tcPr>
          <w:p w:rsidR="00D2569B" w:rsidRPr="00B34608" w:rsidRDefault="00D2569B" w:rsidP="00983297">
            <w:pPr>
              <w:pStyle w:val="table1"/>
              <w:spacing w:line="240" w:lineRule="auto"/>
              <w:jc w:val="center"/>
              <w:rPr>
                <w:rFonts w:ascii="Times New Roman" w:hAnsi="Times New Roman"/>
                <w:b/>
                <w:color w:val="000000"/>
                <w:sz w:val="18"/>
                <w:szCs w:val="18"/>
              </w:rPr>
            </w:pPr>
          </w:p>
        </w:tc>
        <w:tc>
          <w:tcPr>
            <w:tcW w:w="1420" w:type="dxa"/>
            <w:vAlign w:val="bottom"/>
          </w:tcPr>
          <w:p w:rsidR="00D2569B" w:rsidRPr="00B34608" w:rsidRDefault="00D2569B" w:rsidP="008907A4">
            <w:pPr>
              <w:pStyle w:val="table1"/>
              <w:spacing w:line="240" w:lineRule="auto"/>
              <w:rPr>
                <w:rFonts w:ascii="Times New Roman" w:hAnsi="Times New Roman"/>
                <w:b/>
                <w:color w:val="000000"/>
                <w:sz w:val="18"/>
                <w:szCs w:val="18"/>
              </w:rPr>
            </w:pPr>
            <w:r>
              <w:rPr>
                <w:rFonts w:ascii="Times New Roman" w:hAnsi="Times New Roman"/>
                <w:sz w:val="18"/>
                <w:szCs w:val="18"/>
              </w:rPr>
              <w:t>85,</w:t>
            </w:r>
            <w:r w:rsidRPr="00B34608">
              <w:rPr>
                <w:rFonts w:ascii="Times New Roman" w:hAnsi="Times New Roman"/>
                <w:sz w:val="18"/>
                <w:szCs w:val="18"/>
              </w:rPr>
              <w:t>736</w:t>
            </w:r>
            <w:r>
              <w:rPr>
                <w:rFonts w:ascii="Times New Roman" w:hAnsi="Times New Roman"/>
                <w:sz w:val="18"/>
                <w:szCs w:val="18"/>
              </w:rPr>
              <w:t>,</w:t>
            </w:r>
            <w:r w:rsidRPr="00B34608">
              <w:rPr>
                <w:rFonts w:ascii="Times New Roman" w:hAnsi="Times New Roman"/>
                <w:sz w:val="18"/>
                <w:szCs w:val="18"/>
              </w:rPr>
              <w:t>791</w:t>
            </w:r>
          </w:p>
        </w:tc>
        <w:tc>
          <w:tcPr>
            <w:tcW w:w="1559" w:type="dxa"/>
            <w:vAlign w:val="bottom"/>
          </w:tcPr>
          <w:p w:rsidR="00D2569B" w:rsidRPr="00B34608" w:rsidRDefault="00D2569B" w:rsidP="00705BA7">
            <w:pPr>
              <w:pStyle w:val="table1"/>
              <w:spacing w:line="240" w:lineRule="auto"/>
              <w:rPr>
                <w:rFonts w:ascii="Times New Roman" w:hAnsi="Times New Roman"/>
                <w:color w:val="000000"/>
                <w:sz w:val="18"/>
                <w:szCs w:val="18"/>
              </w:rPr>
            </w:pPr>
            <w:r>
              <w:rPr>
                <w:rFonts w:ascii="Times New Roman" w:hAnsi="Times New Roman"/>
                <w:color w:val="000000"/>
                <w:sz w:val="18"/>
                <w:szCs w:val="18"/>
              </w:rPr>
              <w:t>8,</w:t>
            </w:r>
            <w:r w:rsidRPr="00B34608">
              <w:rPr>
                <w:rFonts w:ascii="Times New Roman" w:hAnsi="Times New Roman"/>
                <w:color w:val="000000"/>
                <w:sz w:val="18"/>
                <w:szCs w:val="18"/>
              </w:rPr>
              <w:t>896</w:t>
            </w:r>
            <w:r>
              <w:rPr>
                <w:rFonts w:ascii="Times New Roman" w:hAnsi="Times New Roman"/>
                <w:color w:val="000000"/>
                <w:sz w:val="18"/>
                <w:szCs w:val="18"/>
              </w:rPr>
              <w:t>,</w:t>
            </w:r>
            <w:r w:rsidRPr="00B34608">
              <w:rPr>
                <w:rFonts w:ascii="Times New Roman" w:hAnsi="Times New Roman"/>
                <w:color w:val="000000"/>
                <w:sz w:val="18"/>
                <w:szCs w:val="18"/>
              </w:rPr>
              <w:t>765</w:t>
            </w:r>
          </w:p>
        </w:tc>
      </w:tr>
      <w:tr w:rsidR="00D2569B" w:rsidRPr="00B34608" w:rsidTr="008907A4">
        <w:trPr>
          <w:trHeight w:val="20"/>
        </w:trPr>
        <w:tc>
          <w:tcPr>
            <w:tcW w:w="851" w:type="dxa"/>
          </w:tcPr>
          <w:p w:rsidR="00D2569B" w:rsidRPr="00B34608" w:rsidRDefault="00D2569B" w:rsidP="00983297">
            <w:pPr>
              <w:rPr>
                <w:sz w:val="18"/>
                <w:szCs w:val="18"/>
              </w:rPr>
            </w:pPr>
          </w:p>
        </w:tc>
        <w:tc>
          <w:tcPr>
            <w:tcW w:w="5667" w:type="dxa"/>
          </w:tcPr>
          <w:p w:rsidR="00D2569B" w:rsidRPr="00B34608" w:rsidRDefault="00D2569B" w:rsidP="003D35DD">
            <w:pPr>
              <w:rPr>
                <w:sz w:val="18"/>
                <w:szCs w:val="18"/>
              </w:rPr>
            </w:pPr>
            <w:r>
              <w:rPr>
                <w:sz w:val="18"/>
                <w:szCs w:val="18"/>
              </w:rPr>
              <w:t>Cash and cash equivalents</w:t>
            </w:r>
            <w:r w:rsidRPr="00B34608">
              <w:rPr>
                <w:sz w:val="18"/>
                <w:szCs w:val="18"/>
              </w:rPr>
              <w:t xml:space="preserve"> </w:t>
            </w:r>
            <w:r>
              <w:rPr>
                <w:sz w:val="18"/>
                <w:szCs w:val="18"/>
              </w:rPr>
              <w:t>at the end of the reporting period</w:t>
            </w:r>
          </w:p>
        </w:tc>
        <w:tc>
          <w:tcPr>
            <w:tcW w:w="851" w:type="dxa"/>
            <w:vAlign w:val="bottom"/>
          </w:tcPr>
          <w:p w:rsidR="00D2569B" w:rsidRPr="00B34608" w:rsidRDefault="00D2569B" w:rsidP="00983297">
            <w:pPr>
              <w:pStyle w:val="table1"/>
              <w:spacing w:line="240" w:lineRule="auto"/>
              <w:jc w:val="center"/>
              <w:rPr>
                <w:rFonts w:ascii="Times New Roman" w:hAnsi="Times New Roman"/>
                <w:b/>
                <w:color w:val="000000"/>
                <w:sz w:val="18"/>
                <w:szCs w:val="18"/>
              </w:rPr>
            </w:pPr>
          </w:p>
        </w:tc>
        <w:tc>
          <w:tcPr>
            <w:tcW w:w="1420" w:type="dxa"/>
            <w:vAlign w:val="bottom"/>
          </w:tcPr>
          <w:p w:rsidR="00D2569B" w:rsidRPr="00B34608" w:rsidRDefault="00D2569B" w:rsidP="00846513">
            <w:pPr>
              <w:pStyle w:val="table1"/>
              <w:spacing w:line="240" w:lineRule="auto"/>
              <w:rPr>
                <w:rFonts w:ascii="Times New Roman" w:hAnsi="Times New Roman"/>
                <w:b/>
                <w:color w:val="000000"/>
                <w:sz w:val="18"/>
                <w:szCs w:val="18"/>
              </w:rPr>
            </w:pPr>
            <w:r>
              <w:rPr>
                <w:rFonts w:ascii="Times New Roman" w:hAnsi="Times New Roman"/>
                <w:b/>
                <w:color w:val="000000"/>
                <w:sz w:val="18"/>
                <w:szCs w:val="18"/>
              </w:rPr>
              <w:t>55,</w:t>
            </w:r>
            <w:r w:rsidRPr="00B34608">
              <w:rPr>
                <w:rFonts w:ascii="Times New Roman" w:hAnsi="Times New Roman"/>
                <w:b/>
                <w:color w:val="000000"/>
                <w:sz w:val="18"/>
                <w:szCs w:val="18"/>
              </w:rPr>
              <w:t>066</w:t>
            </w:r>
            <w:r>
              <w:rPr>
                <w:rFonts w:ascii="Times New Roman" w:hAnsi="Times New Roman"/>
                <w:b/>
                <w:color w:val="000000"/>
                <w:sz w:val="18"/>
                <w:szCs w:val="18"/>
              </w:rPr>
              <w:t>,</w:t>
            </w:r>
            <w:r w:rsidRPr="00B34608">
              <w:rPr>
                <w:rFonts w:ascii="Times New Roman" w:hAnsi="Times New Roman"/>
                <w:b/>
                <w:color w:val="000000"/>
                <w:sz w:val="18"/>
                <w:szCs w:val="18"/>
              </w:rPr>
              <w:t>007</w:t>
            </w:r>
          </w:p>
        </w:tc>
        <w:tc>
          <w:tcPr>
            <w:tcW w:w="1559" w:type="dxa"/>
            <w:vAlign w:val="bottom"/>
          </w:tcPr>
          <w:p w:rsidR="00D2569B" w:rsidRPr="00B34608" w:rsidRDefault="00D2569B" w:rsidP="001E5202">
            <w:pPr>
              <w:pStyle w:val="table1"/>
              <w:spacing w:line="240" w:lineRule="auto"/>
              <w:rPr>
                <w:rFonts w:ascii="Times New Roman" w:hAnsi="Times New Roman"/>
                <w:b/>
                <w:color w:val="000000"/>
                <w:sz w:val="18"/>
                <w:szCs w:val="18"/>
              </w:rPr>
            </w:pPr>
            <w:r w:rsidRPr="00B34608">
              <w:rPr>
                <w:rFonts w:ascii="Times New Roman" w:hAnsi="Times New Roman"/>
                <w:b/>
                <w:color w:val="000000"/>
                <w:sz w:val="18"/>
                <w:szCs w:val="18"/>
              </w:rPr>
              <w:t>85</w:t>
            </w:r>
            <w:r>
              <w:rPr>
                <w:rFonts w:ascii="Times New Roman" w:hAnsi="Times New Roman"/>
                <w:b/>
                <w:color w:val="000000"/>
                <w:sz w:val="18"/>
                <w:szCs w:val="18"/>
              </w:rPr>
              <w:t>,</w:t>
            </w:r>
            <w:r w:rsidRPr="00B34608">
              <w:rPr>
                <w:rFonts w:ascii="Times New Roman" w:hAnsi="Times New Roman"/>
                <w:b/>
                <w:color w:val="000000"/>
                <w:sz w:val="18"/>
                <w:szCs w:val="18"/>
              </w:rPr>
              <w:t>736</w:t>
            </w:r>
            <w:r>
              <w:rPr>
                <w:rFonts w:ascii="Times New Roman" w:hAnsi="Times New Roman"/>
                <w:b/>
                <w:color w:val="000000"/>
                <w:sz w:val="18"/>
                <w:szCs w:val="18"/>
              </w:rPr>
              <w:t>,</w:t>
            </w:r>
            <w:r w:rsidRPr="00B34608">
              <w:rPr>
                <w:rFonts w:ascii="Times New Roman" w:hAnsi="Times New Roman"/>
                <w:b/>
                <w:color w:val="000000"/>
                <w:sz w:val="18"/>
                <w:szCs w:val="18"/>
              </w:rPr>
              <w:t>791</w:t>
            </w:r>
          </w:p>
        </w:tc>
      </w:tr>
    </w:tbl>
    <w:p w:rsidR="00D2569B" w:rsidRPr="00B34608" w:rsidRDefault="00D2569B" w:rsidP="00F73409">
      <w:pPr>
        <w:tabs>
          <w:tab w:val="left" w:pos="0"/>
        </w:tabs>
        <w:jc w:val="both"/>
        <w:rPr>
          <w:sz w:val="18"/>
          <w:szCs w:val="18"/>
        </w:rPr>
      </w:pPr>
      <w:bookmarkStart w:id="11" w:name="_Toc105398450"/>
      <w:bookmarkStart w:id="12" w:name="_Toc253477667"/>
    </w:p>
    <w:p w:rsidR="00D2569B" w:rsidRPr="00B34608" w:rsidRDefault="00D2569B" w:rsidP="00F73409">
      <w:pPr>
        <w:tabs>
          <w:tab w:val="left" w:pos="0"/>
        </w:tabs>
        <w:jc w:val="both"/>
        <w:rPr>
          <w:szCs w:val="22"/>
        </w:rPr>
      </w:pPr>
    </w:p>
    <w:p w:rsidR="00D2569B" w:rsidRPr="00B34608" w:rsidRDefault="00D2569B" w:rsidP="00F73409">
      <w:pPr>
        <w:tabs>
          <w:tab w:val="left" w:pos="0"/>
        </w:tabs>
        <w:jc w:val="both"/>
        <w:rPr>
          <w:szCs w:val="22"/>
        </w:rPr>
      </w:pPr>
      <w:r w:rsidRPr="00F33D93">
        <w:rPr>
          <w:szCs w:val="22"/>
        </w:rPr>
        <w:t>Dire</w:t>
      </w:r>
      <w:r>
        <w:rPr>
          <w:szCs w:val="22"/>
        </w:rPr>
        <w:t>ctor</w:t>
      </w:r>
      <w:r w:rsidRPr="00B34608">
        <w:rPr>
          <w:szCs w:val="22"/>
        </w:rPr>
        <w:t xml:space="preserve">        </w:t>
      </w:r>
      <w:r w:rsidRPr="00B34608">
        <w:rPr>
          <w:sz w:val="20"/>
          <w:szCs w:val="22"/>
        </w:rPr>
        <w:t xml:space="preserve">         </w:t>
      </w:r>
      <w:r w:rsidRPr="00B34608">
        <w:rPr>
          <w:sz w:val="20"/>
          <w:szCs w:val="22"/>
        </w:rPr>
        <w:tab/>
      </w:r>
      <w:r w:rsidRPr="00B34608">
        <w:rPr>
          <w:sz w:val="20"/>
          <w:szCs w:val="22"/>
        </w:rPr>
        <w:tab/>
      </w:r>
      <w:r w:rsidRPr="00B34608">
        <w:rPr>
          <w:sz w:val="20"/>
          <w:szCs w:val="22"/>
        </w:rPr>
        <w:tab/>
      </w:r>
      <w:r w:rsidRPr="00B34608">
        <w:rPr>
          <w:sz w:val="20"/>
          <w:szCs w:val="22"/>
        </w:rPr>
        <w:tab/>
      </w:r>
      <w:r w:rsidRPr="00B34608">
        <w:rPr>
          <w:sz w:val="20"/>
          <w:szCs w:val="22"/>
        </w:rPr>
        <w:tab/>
      </w:r>
      <w:r w:rsidRPr="00B34608">
        <w:rPr>
          <w:sz w:val="20"/>
          <w:szCs w:val="22"/>
        </w:rPr>
        <w:tab/>
      </w:r>
      <w:r w:rsidRPr="00B34608">
        <w:rPr>
          <w:sz w:val="20"/>
          <w:szCs w:val="22"/>
        </w:rPr>
        <w:tab/>
        <w:t xml:space="preserve">                      </w:t>
      </w:r>
      <w:r w:rsidRPr="00B34608">
        <w:rPr>
          <w:szCs w:val="22"/>
        </w:rPr>
        <w:t xml:space="preserve">Aurelija Mažintienė  </w:t>
      </w:r>
    </w:p>
    <w:p w:rsidR="00D2569B" w:rsidRPr="00B34608" w:rsidRDefault="00D2569B" w:rsidP="00F73409">
      <w:pPr>
        <w:tabs>
          <w:tab w:val="left" w:pos="0"/>
        </w:tabs>
        <w:jc w:val="both"/>
        <w:rPr>
          <w:sz w:val="14"/>
          <w:szCs w:val="16"/>
        </w:rPr>
      </w:pPr>
    </w:p>
    <w:p w:rsidR="00D2569B" w:rsidRPr="00B34608" w:rsidRDefault="00D2569B" w:rsidP="00F73409">
      <w:pPr>
        <w:tabs>
          <w:tab w:val="left" w:pos="0"/>
        </w:tabs>
        <w:jc w:val="both"/>
        <w:rPr>
          <w:sz w:val="14"/>
          <w:szCs w:val="16"/>
        </w:rPr>
      </w:pPr>
    </w:p>
    <w:p w:rsidR="00D2569B" w:rsidRPr="00B34608" w:rsidRDefault="00D2569B" w:rsidP="00F73409">
      <w:pPr>
        <w:tabs>
          <w:tab w:val="left" w:pos="0"/>
        </w:tabs>
        <w:jc w:val="both"/>
        <w:rPr>
          <w:sz w:val="20"/>
          <w:szCs w:val="22"/>
        </w:rPr>
      </w:pPr>
      <w:r>
        <w:rPr>
          <w:szCs w:val="22"/>
        </w:rPr>
        <w:t>Acting Chief Accountant</w:t>
      </w:r>
      <w:r w:rsidRPr="00B34608">
        <w:rPr>
          <w:szCs w:val="22"/>
        </w:rPr>
        <w:tab/>
      </w:r>
      <w:r w:rsidRPr="00B34608">
        <w:rPr>
          <w:sz w:val="20"/>
          <w:szCs w:val="22"/>
        </w:rPr>
        <w:t xml:space="preserve">                                                                                    </w:t>
      </w:r>
      <w:r w:rsidRPr="00B34608">
        <w:rPr>
          <w:szCs w:val="22"/>
        </w:rPr>
        <w:t>Laima Tankevičiūtė</w:t>
      </w:r>
    </w:p>
    <w:p w:rsidR="00D2569B" w:rsidRPr="00B34608" w:rsidRDefault="00D2569B" w:rsidP="00F73409">
      <w:pPr>
        <w:tabs>
          <w:tab w:val="left" w:pos="0"/>
        </w:tabs>
        <w:jc w:val="both"/>
        <w:rPr>
          <w:sz w:val="20"/>
          <w:szCs w:val="22"/>
        </w:rPr>
      </w:pPr>
    </w:p>
    <w:p w:rsidR="00D2569B" w:rsidRPr="00B34608" w:rsidRDefault="00D2569B" w:rsidP="00F73409">
      <w:pPr>
        <w:tabs>
          <w:tab w:val="left" w:pos="0"/>
        </w:tabs>
        <w:jc w:val="both"/>
        <w:rPr>
          <w:sz w:val="20"/>
          <w:szCs w:val="22"/>
        </w:rPr>
      </w:pPr>
    </w:p>
    <w:p w:rsidR="00D2569B" w:rsidRPr="00B34608" w:rsidRDefault="00D2569B" w:rsidP="00F73409">
      <w:pPr>
        <w:tabs>
          <w:tab w:val="left" w:pos="0"/>
        </w:tabs>
        <w:jc w:val="both"/>
        <w:rPr>
          <w:sz w:val="20"/>
          <w:szCs w:val="22"/>
        </w:rPr>
      </w:pPr>
      <w:r w:rsidRPr="00B34608">
        <w:rPr>
          <w:sz w:val="20"/>
          <w:szCs w:val="22"/>
        </w:rPr>
        <w:t xml:space="preserve">   </w:t>
      </w:r>
    </w:p>
    <w:p w:rsidR="00D2569B" w:rsidRPr="00B34608" w:rsidRDefault="00D2569B" w:rsidP="00F73409">
      <w:pPr>
        <w:tabs>
          <w:tab w:val="left" w:pos="0"/>
        </w:tabs>
        <w:jc w:val="both"/>
        <w:rPr>
          <w:szCs w:val="22"/>
        </w:rPr>
      </w:pPr>
      <w:r w:rsidRPr="00B34608">
        <w:rPr>
          <w:sz w:val="20"/>
          <w:szCs w:val="22"/>
        </w:rPr>
        <w:tab/>
      </w:r>
      <w:r w:rsidRPr="00B34608">
        <w:rPr>
          <w:sz w:val="20"/>
          <w:szCs w:val="22"/>
        </w:rPr>
        <w:tab/>
        <w:t xml:space="preserve">    </w:t>
      </w:r>
      <w:r w:rsidRPr="00B34608">
        <w:rPr>
          <w:sz w:val="20"/>
          <w:szCs w:val="22"/>
        </w:rPr>
        <w:tab/>
      </w:r>
      <w:r w:rsidRPr="00B34608">
        <w:rPr>
          <w:sz w:val="20"/>
          <w:szCs w:val="22"/>
        </w:rPr>
        <w:tab/>
      </w:r>
      <w:r w:rsidRPr="00B34608">
        <w:rPr>
          <w:sz w:val="20"/>
          <w:szCs w:val="22"/>
        </w:rPr>
        <w:tab/>
      </w:r>
      <w:r w:rsidRPr="00B34608">
        <w:rPr>
          <w:sz w:val="20"/>
          <w:szCs w:val="22"/>
        </w:rPr>
        <w:tab/>
      </w:r>
      <w:r w:rsidRPr="00B34608">
        <w:rPr>
          <w:szCs w:val="22"/>
        </w:rPr>
        <w:t xml:space="preserve">           </w:t>
      </w:r>
    </w:p>
    <w:p w:rsidR="00D2569B" w:rsidRPr="00B34608" w:rsidRDefault="00D2569B" w:rsidP="00F73409">
      <w:pPr>
        <w:tabs>
          <w:tab w:val="left" w:pos="0"/>
        </w:tabs>
        <w:jc w:val="both"/>
        <w:rPr>
          <w:szCs w:val="22"/>
        </w:rPr>
      </w:pPr>
    </w:p>
    <w:p w:rsidR="00D2569B" w:rsidRPr="00B34608" w:rsidRDefault="00D2569B" w:rsidP="00F73409">
      <w:pPr>
        <w:tabs>
          <w:tab w:val="left" w:pos="0"/>
        </w:tabs>
        <w:jc w:val="both"/>
        <w:rPr>
          <w:sz w:val="14"/>
          <w:szCs w:val="16"/>
        </w:rPr>
      </w:pPr>
    </w:p>
    <w:p w:rsidR="00D2569B" w:rsidRPr="00B34608" w:rsidRDefault="00D2569B" w:rsidP="00ED290C">
      <w:pPr>
        <w:spacing w:line="360" w:lineRule="auto"/>
        <w:jc w:val="center"/>
        <w:rPr>
          <w:b/>
          <w:sz w:val="24"/>
          <w:szCs w:val="24"/>
        </w:rPr>
      </w:pPr>
      <w:bookmarkStart w:id="13" w:name="_Toc441322996"/>
      <w:bookmarkStart w:id="14" w:name="_Toc441324019"/>
      <w:r>
        <w:rPr>
          <w:b/>
          <w:sz w:val="24"/>
          <w:szCs w:val="24"/>
        </w:rPr>
        <w:t>DEPOSIT INSURANCE FUND</w:t>
      </w:r>
    </w:p>
    <w:p w:rsidR="00D2569B" w:rsidRPr="00B34608" w:rsidRDefault="00D2569B" w:rsidP="009D01DE">
      <w:pPr>
        <w:spacing w:line="276" w:lineRule="auto"/>
        <w:jc w:val="center"/>
        <w:rPr>
          <w:szCs w:val="22"/>
        </w:rPr>
      </w:pPr>
      <w:r w:rsidRPr="00B34608">
        <w:rPr>
          <w:szCs w:val="22"/>
        </w:rPr>
        <w:t>Administrator</w:t>
      </w:r>
      <w:r>
        <w:rPr>
          <w:szCs w:val="22"/>
        </w:rPr>
        <w:t xml:space="preserve"> –</w:t>
      </w:r>
      <w:r w:rsidRPr="00B34608">
        <w:rPr>
          <w:szCs w:val="22"/>
        </w:rPr>
        <w:t xml:space="preserve"> </w:t>
      </w:r>
      <w:r w:rsidRPr="004B39D2">
        <w:rPr>
          <w:bCs/>
          <w:szCs w:val="22"/>
        </w:rPr>
        <w:t xml:space="preserve">SC </w:t>
      </w:r>
      <w:r w:rsidR="00C33E1C" w:rsidRPr="00C33E1C">
        <w:t>„</w:t>
      </w:r>
      <w:r w:rsidRPr="004B39D2">
        <w:rPr>
          <w:bCs/>
          <w:szCs w:val="22"/>
        </w:rPr>
        <w:t>Indėlių ir investicijų draudimas</w:t>
      </w:r>
      <w:r w:rsidR="00C33E1C">
        <w:rPr>
          <w:bCs/>
          <w:szCs w:val="22"/>
        </w:rPr>
        <w:t>”</w:t>
      </w:r>
      <w:r>
        <w:rPr>
          <w:szCs w:val="22"/>
        </w:rPr>
        <w:t>, corporate code</w:t>
      </w:r>
      <w:r w:rsidRPr="00B34608">
        <w:rPr>
          <w:szCs w:val="22"/>
        </w:rPr>
        <w:t xml:space="preserve"> 110069451</w:t>
      </w:r>
    </w:p>
    <w:p w:rsidR="00D2569B" w:rsidRPr="00B34608" w:rsidRDefault="00D2569B" w:rsidP="009D01DE">
      <w:pPr>
        <w:spacing w:line="276" w:lineRule="auto"/>
        <w:jc w:val="center"/>
        <w:rPr>
          <w:szCs w:val="22"/>
        </w:rPr>
      </w:pPr>
      <w:proofErr w:type="spellStart"/>
      <w:r w:rsidRPr="00B34608">
        <w:rPr>
          <w:szCs w:val="22"/>
        </w:rPr>
        <w:t>Alg</w:t>
      </w:r>
      <w:r>
        <w:rPr>
          <w:szCs w:val="22"/>
        </w:rPr>
        <w:t>irdo</w:t>
      </w:r>
      <w:proofErr w:type="spellEnd"/>
      <w:r>
        <w:rPr>
          <w:szCs w:val="22"/>
        </w:rPr>
        <w:t xml:space="preserve"> g. 31, LT-03219 Vilnius, data collected and stored in the Register of Legal Entities</w:t>
      </w:r>
    </w:p>
    <w:p w:rsidR="00D2569B" w:rsidRPr="00B34608" w:rsidRDefault="00D2569B" w:rsidP="00ED290C">
      <w:pPr>
        <w:pStyle w:val="Antrat1"/>
        <w:spacing w:before="240"/>
        <w:rPr>
          <w:sz w:val="24"/>
          <w:szCs w:val="24"/>
        </w:rPr>
      </w:pPr>
      <w:r w:rsidRPr="00B34608">
        <w:rPr>
          <w:sz w:val="28"/>
          <w:szCs w:val="28"/>
        </w:rPr>
        <w:t xml:space="preserve">                                                   </w:t>
      </w:r>
      <w:r w:rsidRPr="009D01DE">
        <w:rPr>
          <w:sz w:val="24"/>
          <w:szCs w:val="24"/>
        </w:rPr>
        <w:t>EXPLANATORY NOTES</w:t>
      </w:r>
      <w:r>
        <w:rPr>
          <w:sz w:val="28"/>
          <w:szCs w:val="28"/>
        </w:rPr>
        <w:t xml:space="preserve"> </w:t>
      </w:r>
    </w:p>
    <w:p w:rsidR="00D2569B" w:rsidRPr="00B34608" w:rsidRDefault="00D2569B" w:rsidP="00ED290C">
      <w:pPr>
        <w:pStyle w:val="Pagrindinistekstas"/>
        <w:rPr>
          <w:b/>
        </w:rPr>
      </w:pPr>
      <w:r w:rsidRPr="00B34608">
        <w:t xml:space="preserve">                                                                  </w:t>
      </w:r>
      <w:r>
        <w:rPr>
          <w:b/>
        </w:rPr>
        <w:t>31 DECEMBER 2017</w:t>
      </w:r>
    </w:p>
    <w:p w:rsidR="00D2569B" w:rsidRPr="00B34608" w:rsidRDefault="00D2569B" w:rsidP="00ED290C">
      <w:pPr>
        <w:pStyle w:val="Pagrindinistekstas"/>
        <w:rPr>
          <w:b/>
        </w:rPr>
      </w:pPr>
    </w:p>
    <w:p w:rsidR="00D2569B" w:rsidRPr="00B34608" w:rsidRDefault="00D2569B" w:rsidP="00ED290C">
      <w:pPr>
        <w:pStyle w:val="Pagrindinistekstas"/>
      </w:pPr>
      <w:r w:rsidRPr="00780B9D">
        <w:t xml:space="preserve">                                                                            29 January</w:t>
      </w:r>
      <w:r w:rsidRPr="00B34608">
        <w:rPr>
          <w:b/>
        </w:rPr>
        <w:t xml:space="preserve"> </w:t>
      </w:r>
      <w:r w:rsidRPr="00B34608">
        <w:t xml:space="preserve">2018   </w:t>
      </w:r>
    </w:p>
    <w:p w:rsidR="00D2569B" w:rsidRPr="00780B9D" w:rsidRDefault="00D2569B" w:rsidP="00896307">
      <w:pPr>
        <w:pStyle w:val="Antrat2"/>
        <w:numPr>
          <w:ilvl w:val="0"/>
          <w:numId w:val="18"/>
        </w:numPr>
        <w:ind w:left="426" w:hanging="426"/>
        <w:rPr>
          <w:sz w:val="24"/>
          <w:szCs w:val="24"/>
        </w:rPr>
      </w:pPr>
      <w:bookmarkStart w:id="15" w:name="_Toc441324020"/>
      <w:bookmarkEnd w:id="11"/>
      <w:bookmarkEnd w:id="12"/>
      <w:bookmarkEnd w:id="13"/>
      <w:bookmarkEnd w:id="14"/>
      <w:r w:rsidRPr="00780B9D">
        <w:rPr>
          <w:sz w:val="24"/>
          <w:szCs w:val="24"/>
        </w:rPr>
        <w:t>General part</w:t>
      </w:r>
      <w:bookmarkEnd w:id="15"/>
    </w:p>
    <w:p w:rsidR="00D2569B" w:rsidRPr="00B34608" w:rsidRDefault="00D2569B" w:rsidP="00780B9D">
      <w:pPr>
        <w:spacing w:line="276" w:lineRule="auto"/>
        <w:ind w:firstLine="426"/>
        <w:jc w:val="both"/>
        <w:rPr>
          <w:szCs w:val="22"/>
        </w:rPr>
      </w:pPr>
      <w:r>
        <w:rPr>
          <w:szCs w:val="22"/>
        </w:rPr>
        <w:t xml:space="preserve">The State Company </w:t>
      </w:r>
      <w:r w:rsidR="00C33E1C" w:rsidRPr="00C33E1C">
        <w:t>„</w:t>
      </w:r>
      <w:r w:rsidRPr="004B39D2">
        <w:rPr>
          <w:bCs/>
          <w:szCs w:val="22"/>
        </w:rPr>
        <w:t>Indėlių ir investicijų draudimas</w:t>
      </w:r>
      <w:r w:rsidR="00C33E1C">
        <w:rPr>
          <w:bCs/>
          <w:szCs w:val="22"/>
        </w:rPr>
        <w:t>”</w:t>
      </w:r>
      <w:r>
        <w:rPr>
          <w:szCs w:val="22"/>
        </w:rPr>
        <w:t xml:space="preserve"> (hereinafter – the Company) </w:t>
      </w:r>
      <w:r w:rsidRPr="00B34608">
        <w:rPr>
          <w:szCs w:val="22"/>
        </w:rPr>
        <w:t>administr</w:t>
      </w:r>
      <w:r>
        <w:rPr>
          <w:szCs w:val="22"/>
        </w:rPr>
        <w:t>ates the Deposit Insurance Fund</w:t>
      </w:r>
      <w:r w:rsidRPr="00B34608">
        <w:rPr>
          <w:rFonts w:eastAsia="Arial Unicode MS"/>
          <w:color w:val="000000"/>
          <w:szCs w:val="22"/>
        </w:rPr>
        <w:t xml:space="preserve"> </w:t>
      </w:r>
      <w:r w:rsidRPr="00B34608">
        <w:rPr>
          <w:szCs w:val="22"/>
        </w:rPr>
        <w:t>(</w:t>
      </w:r>
      <w:r>
        <w:rPr>
          <w:szCs w:val="22"/>
        </w:rPr>
        <w:t>hereinafter</w:t>
      </w:r>
      <w:r w:rsidRPr="00B34608">
        <w:rPr>
          <w:szCs w:val="22"/>
        </w:rPr>
        <w:t xml:space="preserve"> –</w:t>
      </w:r>
      <w:r>
        <w:rPr>
          <w:szCs w:val="22"/>
        </w:rPr>
        <w:t xml:space="preserve"> the Fund</w:t>
      </w:r>
      <w:r w:rsidRPr="00B34608">
        <w:rPr>
          <w:szCs w:val="22"/>
        </w:rPr>
        <w:t>)</w:t>
      </w:r>
      <w:r>
        <w:rPr>
          <w:szCs w:val="22"/>
        </w:rPr>
        <w:t xml:space="preserve"> since 3 December 2015 when the Law (</w:t>
      </w:r>
      <w:r w:rsidRPr="00B34608">
        <w:t>N</w:t>
      </w:r>
      <w:r>
        <w:t>o</w:t>
      </w:r>
      <w:r w:rsidRPr="00B34608">
        <w:t xml:space="preserve"> XII-2054</w:t>
      </w:r>
      <w:r>
        <w:t>)</w:t>
      </w:r>
      <w:r w:rsidRPr="00B34608">
        <w:t xml:space="preserve"> </w:t>
      </w:r>
      <w:r>
        <w:rPr>
          <w:szCs w:val="22"/>
        </w:rPr>
        <w:t xml:space="preserve">of the Republic of Lithuania </w:t>
      </w:r>
      <w:r>
        <w:t xml:space="preserve">amending the Law (No </w:t>
      </w:r>
      <w:r w:rsidRPr="00B34608">
        <w:t>IX-975</w:t>
      </w:r>
      <w:r>
        <w:t xml:space="preserve">) </w:t>
      </w:r>
      <w:r>
        <w:rPr>
          <w:szCs w:val="22"/>
        </w:rPr>
        <w:t>on Insurance of Deposits and Liabilities to Investors of 19 November 2015 (hereinafter – the Law) entered into force</w:t>
      </w:r>
      <w:r w:rsidRPr="00B34608">
        <w:rPr>
          <w:szCs w:val="22"/>
        </w:rPr>
        <w:t>.</w:t>
      </w:r>
    </w:p>
    <w:p w:rsidR="00D2569B" w:rsidRPr="00B34608" w:rsidRDefault="00D2569B" w:rsidP="0044798A">
      <w:pPr>
        <w:spacing w:line="276" w:lineRule="auto"/>
        <w:jc w:val="both"/>
        <w:rPr>
          <w:szCs w:val="22"/>
        </w:rPr>
      </w:pPr>
      <w:r w:rsidRPr="00B34608">
        <w:rPr>
          <w:szCs w:val="22"/>
        </w:rPr>
        <w:t xml:space="preserve">       </w:t>
      </w:r>
      <w:r>
        <w:rPr>
          <w:szCs w:val="22"/>
        </w:rPr>
        <w:t xml:space="preserve">The </w:t>
      </w:r>
      <w:r w:rsidRPr="00B34608">
        <w:rPr>
          <w:szCs w:val="22"/>
        </w:rPr>
        <w:t>F</w:t>
      </w:r>
      <w:r>
        <w:rPr>
          <w:szCs w:val="22"/>
        </w:rPr>
        <w:t>und is not a legal person. The Fund is administrated by Company which is established from the State assets in accordance with the procedure set forth by legal acts and is acting, handling the accounting and preparing the sets of financial statements</w:t>
      </w:r>
      <w:r w:rsidRPr="0018030C">
        <w:rPr>
          <w:szCs w:val="22"/>
        </w:rPr>
        <w:t xml:space="preserve"> </w:t>
      </w:r>
      <w:r>
        <w:rPr>
          <w:szCs w:val="22"/>
        </w:rPr>
        <w:t>on behalf of the Fund. The institution implementing the rights and obligations of the owner of the</w:t>
      </w:r>
      <w:r w:rsidRPr="00B34608">
        <w:rPr>
          <w:szCs w:val="22"/>
        </w:rPr>
        <w:t xml:space="preserve"> </w:t>
      </w:r>
      <w:r>
        <w:rPr>
          <w:szCs w:val="22"/>
        </w:rPr>
        <w:t>Company</w:t>
      </w:r>
      <w:r w:rsidRPr="00B34608">
        <w:rPr>
          <w:szCs w:val="22"/>
        </w:rPr>
        <w:t xml:space="preserve"> </w:t>
      </w:r>
      <w:r>
        <w:rPr>
          <w:szCs w:val="22"/>
        </w:rPr>
        <w:t>is the Ministry of Finance of the</w:t>
      </w:r>
      <w:r w:rsidRPr="00B34608">
        <w:rPr>
          <w:szCs w:val="22"/>
        </w:rPr>
        <w:t xml:space="preserve"> </w:t>
      </w:r>
      <w:r>
        <w:rPr>
          <w:szCs w:val="22"/>
        </w:rPr>
        <w:t>Republic of Lithuania</w:t>
      </w:r>
      <w:r w:rsidRPr="00B34608">
        <w:rPr>
          <w:szCs w:val="22"/>
        </w:rPr>
        <w:t>.</w:t>
      </w:r>
    </w:p>
    <w:p w:rsidR="00D2569B" w:rsidRPr="00B34608" w:rsidRDefault="00D2569B" w:rsidP="001A3F00">
      <w:pPr>
        <w:overflowPunct w:val="0"/>
        <w:spacing w:line="276" w:lineRule="auto"/>
        <w:ind w:firstLine="567"/>
        <w:jc w:val="both"/>
        <w:textAlignment w:val="baseline"/>
        <w:rPr>
          <w:rFonts w:eastAsia="Arial Unicode MS"/>
          <w:color w:val="000000"/>
          <w:szCs w:val="24"/>
        </w:rPr>
      </w:pPr>
      <w:r>
        <w:rPr>
          <w:rFonts w:eastAsia="Arial Unicode MS"/>
          <w:color w:val="000000"/>
          <w:szCs w:val="24"/>
        </w:rPr>
        <w:t xml:space="preserve">The </w:t>
      </w:r>
      <w:r w:rsidRPr="00B34608">
        <w:rPr>
          <w:rFonts w:eastAsia="Arial Unicode MS"/>
          <w:color w:val="000000"/>
          <w:szCs w:val="24"/>
        </w:rPr>
        <w:t>F</w:t>
      </w:r>
      <w:r>
        <w:rPr>
          <w:rFonts w:eastAsia="Arial Unicode MS"/>
          <w:color w:val="000000"/>
          <w:szCs w:val="24"/>
        </w:rPr>
        <w:t>und</w:t>
      </w:r>
      <w:r w:rsidRPr="00B34608">
        <w:rPr>
          <w:rFonts w:eastAsia="Arial Unicode MS"/>
          <w:color w:val="000000"/>
          <w:szCs w:val="24"/>
        </w:rPr>
        <w:t xml:space="preserve"> – </w:t>
      </w:r>
      <w:r>
        <w:rPr>
          <w:rFonts w:eastAsia="Arial Unicode MS"/>
          <w:color w:val="000000"/>
          <w:szCs w:val="24"/>
        </w:rPr>
        <w:t xml:space="preserve">means the </w:t>
      </w:r>
      <w:r>
        <w:t>fund in which the assets are accumulated for payment of insurance compensations according to the Law</w:t>
      </w:r>
      <w:r w:rsidRPr="00B34608">
        <w:rPr>
          <w:rFonts w:eastAsia="Arial Unicode MS"/>
          <w:color w:val="000000"/>
          <w:szCs w:val="24"/>
        </w:rPr>
        <w:t>.</w:t>
      </w:r>
    </w:p>
    <w:p w:rsidR="00D2569B" w:rsidRPr="00B34608" w:rsidRDefault="00D2569B" w:rsidP="001A3F00">
      <w:pPr>
        <w:overflowPunct w:val="0"/>
        <w:spacing w:line="276" w:lineRule="auto"/>
        <w:ind w:firstLine="567"/>
        <w:jc w:val="both"/>
        <w:textAlignment w:val="baseline"/>
        <w:rPr>
          <w:rFonts w:eastAsia="Arial Unicode MS"/>
          <w:color w:val="000000"/>
          <w:szCs w:val="24"/>
        </w:rPr>
      </w:pPr>
      <w:r w:rsidRPr="003D5E29">
        <w:rPr>
          <w:bCs/>
        </w:rPr>
        <w:t xml:space="preserve">Participants </w:t>
      </w:r>
      <w:r w:rsidRPr="003D5E29">
        <w:t xml:space="preserve">of </w:t>
      </w:r>
      <w:r>
        <w:t xml:space="preserve">the </w:t>
      </w:r>
      <w:r w:rsidRPr="003D5E29">
        <w:t>Deposit Insurance System</w:t>
      </w:r>
      <w:r w:rsidRPr="00B34608">
        <w:rPr>
          <w:rFonts w:eastAsia="Arial Unicode MS"/>
          <w:color w:val="000000"/>
          <w:szCs w:val="24"/>
        </w:rPr>
        <w:t xml:space="preserve"> (</w:t>
      </w:r>
      <w:r>
        <w:rPr>
          <w:rFonts w:eastAsia="Arial Unicode MS"/>
          <w:color w:val="000000"/>
          <w:szCs w:val="24"/>
        </w:rPr>
        <w:t>Article 11(1) of the Law</w:t>
      </w:r>
      <w:r w:rsidRPr="00B34608">
        <w:rPr>
          <w:rFonts w:eastAsia="Arial Unicode MS"/>
          <w:color w:val="000000"/>
          <w:szCs w:val="24"/>
        </w:rPr>
        <w:t xml:space="preserve">): </w:t>
      </w:r>
    </w:p>
    <w:p w:rsidR="00D2569B" w:rsidRPr="00B34608" w:rsidRDefault="00D2569B" w:rsidP="001A3F00">
      <w:pPr>
        <w:overflowPunct w:val="0"/>
        <w:spacing w:line="276" w:lineRule="auto"/>
        <w:ind w:firstLine="567"/>
        <w:jc w:val="both"/>
        <w:textAlignment w:val="baseline"/>
        <w:rPr>
          <w:rFonts w:eastAsia="Arial Unicode MS"/>
          <w:color w:val="000000"/>
          <w:szCs w:val="24"/>
        </w:rPr>
      </w:pPr>
      <w:r w:rsidRPr="00B34608">
        <w:rPr>
          <w:rFonts w:eastAsia="Arial Unicode MS"/>
          <w:color w:val="000000"/>
          <w:szCs w:val="24"/>
        </w:rPr>
        <w:t xml:space="preserve">- </w:t>
      </w:r>
      <w:r>
        <w:t>banks established in the Republic of Lithuania, including branches of these banks, established in the Republic of Lithuania and other Member States</w:t>
      </w:r>
      <w:r w:rsidRPr="00B34608">
        <w:rPr>
          <w:rFonts w:eastAsia="Arial Unicode MS"/>
          <w:color w:val="000000"/>
          <w:szCs w:val="24"/>
        </w:rPr>
        <w:t>;</w:t>
      </w:r>
    </w:p>
    <w:p w:rsidR="00D2569B" w:rsidRPr="00B34608" w:rsidRDefault="00D2569B" w:rsidP="001A3F00">
      <w:pPr>
        <w:overflowPunct w:val="0"/>
        <w:spacing w:line="276" w:lineRule="auto"/>
        <w:ind w:firstLine="567"/>
        <w:jc w:val="both"/>
        <w:textAlignment w:val="baseline"/>
        <w:rPr>
          <w:rFonts w:eastAsia="Arial Unicode MS"/>
          <w:color w:val="000000"/>
          <w:szCs w:val="24"/>
        </w:rPr>
      </w:pPr>
      <w:r w:rsidRPr="00B34608">
        <w:rPr>
          <w:rFonts w:eastAsia="Arial Unicode MS"/>
          <w:color w:val="000000"/>
          <w:szCs w:val="24"/>
        </w:rPr>
        <w:t xml:space="preserve">- </w:t>
      </w:r>
      <w:r>
        <w:rPr>
          <w:rFonts w:eastAsia="Arial Unicode MS"/>
          <w:color w:val="000000"/>
          <w:szCs w:val="24"/>
        </w:rPr>
        <w:t xml:space="preserve">third-country </w:t>
      </w:r>
      <w:r>
        <w:t>banks that have established a branch in the Republic of Lithuania when deposits held in third countries are not insured or their protection is not guaranteed in any other way under legal acts of the third country to the jurisdiction of which the bank that has established a branch</w:t>
      </w:r>
      <w:r w:rsidRPr="00F06050">
        <w:t xml:space="preserve"> </w:t>
      </w:r>
      <w:r>
        <w:t>belongs</w:t>
      </w:r>
      <w:r w:rsidRPr="00B34608">
        <w:rPr>
          <w:rFonts w:eastAsia="Arial Unicode MS"/>
          <w:color w:val="000000"/>
          <w:szCs w:val="24"/>
        </w:rPr>
        <w:t xml:space="preserve">;  </w:t>
      </w:r>
    </w:p>
    <w:p w:rsidR="00D2569B" w:rsidRPr="00B34608" w:rsidRDefault="00D2569B" w:rsidP="001A3F00">
      <w:pPr>
        <w:overflowPunct w:val="0"/>
        <w:spacing w:line="276" w:lineRule="auto"/>
        <w:ind w:firstLine="567"/>
        <w:jc w:val="both"/>
        <w:textAlignment w:val="baseline"/>
        <w:rPr>
          <w:rFonts w:eastAsia="Arial Unicode MS"/>
          <w:color w:val="000000"/>
          <w:szCs w:val="24"/>
        </w:rPr>
      </w:pPr>
      <w:r w:rsidRPr="00B34608">
        <w:rPr>
          <w:rFonts w:eastAsia="Arial Unicode MS"/>
          <w:color w:val="000000"/>
          <w:szCs w:val="24"/>
        </w:rPr>
        <w:t xml:space="preserve">- </w:t>
      </w:r>
      <w:r>
        <w:rPr>
          <w:rFonts w:eastAsia="Arial Unicode MS"/>
          <w:color w:val="000000"/>
          <w:szCs w:val="24"/>
        </w:rPr>
        <w:t xml:space="preserve">third-country </w:t>
      </w:r>
      <w:r>
        <w:t>banks that have established a branch in the Republic of Lithuania when deposits held in third countries are insured (compensated) or their protection is guaranteed</w:t>
      </w:r>
      <w:r w:rsidRPr="00F06050">
        <w:t xml:space="preserve"> </w:t>
      </w:r>
      <w:r>
        <w:t>in any other way under legal acts of the third country, but the Company’s Council determines that such deposit insurance (compensation) or other conditions guaranteeing their protection are less favourable than established in the Law on Insurance of Deposits and Liabilities to Investors</w:t>
      </w:r>
      <w:r w:rsidRPr="00B34608">
        <w:rPr>
          <w:rFonts w:eastAsia="Arial Unicode MS"/>
          <w:color w:val="000000"/>
          <w:szCs w:val="24"/>
        </w:rPr>
        <w:t>;</w:t>
      </w:r>
    </w:p>
    <w:p w:rsidR="00D2569B" w:rsidRPr="00B34608" w:rsidRDefault="00D2569B" w:rsidP="001A3F00">
      <w:pPr>
        <w:overflowPunct w:val="0"/>
        <w:spacing w:line="276" w:lineRule="auto"/>
        <w:ind w:firstLine="567"/>
        <w:jc w:val="both"/>
        <w:textAlignment w:val="baseline"/>
        <w:rPr>
          <w:rFonts w:eastAsia="Arial Unicode MS"/>
          <w:color w:val="000000"/>
          <w:szCs w:val="24"/>
        </w:rPr>
      </w:pPr>
      <w:r w:rsidRPr="00B34608">
        <w:rPr>
          <w:rFonts w:eastAsia="Arial Unicode MS"/>
          <w:color w:val="000000"/>
          <w:szCs w:val="24"/>
        </w:rPr>
        <w:t xml:space="preserve">- </w:t>
      </w:r>
      <w:r>
        <w:t>credit unions and the Central Credit Union</w:t>
      </w:r>
      <w:r w:rsidRPr="00426E72">
        <w:t xml:space="preserve"> </w:t>
      </w:r>
      <w:r>
        <w:t>established in the Republic of Lithuania</w:t>
      </w:r>
      <w:r w:rsidRPr="00B34608">
        <w:rPr>
          <w:rFonts w:eastAsia="Arial Unicode MS"/>
          <w:color w:val="000000"/>
          <w:szCs w:val="24"/>
        </w:rPr>
        <w:t>.</w:t>
      </w:r>
    </w:p>
    <w:p w:rsidR="00D2569B" w:rsidRPr="00B34608" w:rsidRDefault="00D2569B" w:rsidP="001A3F00">
      <w:pPr>
        <w:spacing w:line="276" w:lineRule="auto"/>
        <w:ind w:firstLine="567"/>
        <w:jc w:val="both"/>
        <w:rPr>
          <w:color w:val="000000"/>
          <w:szCs w:val="24"/>
        </w:rPr>
      </w:pPr>
      <w:r>
        <w:t>The Fund’s proceeds consist of</w:t>
      </w:r>
      <w:r w:rsidRPr="00B34608">
        <w:rPr>
          <w:szCs w:val="22"/>
        </w:rPr>
        <w:t xml:space="preserve"> (</w:t>
      </w:r>
      <w:r>
        <w:rPr>
          <w:szCs w:val="22"/>
        </w:rPr>
        <w:t>Article 16(3) of the Law)</w:t>
      </w:r>
      <w:r w:rsidRPr="00B34608">
        <w:rPr>
          <w:color w:val="000000"/>
          <w:szCs w:val="24"/>
        </w:rPr>
        <w:t>:</w:t>
      </w:r>
    </w:p>
    <w:p w:rsidR="00D2569B" w:rsidRPr="00B34608" w:rsidRDefault="00D2569B" w:rsidP="001A3F00">
      <w:pPr>
        <w:spacing w:line="276" w:lineRule="auto"/>
        <w:ind w:firstLine="567"/>
        <w:jc w:val="both"/>
        <w:rPr>
          <w:color w:val="000000"/>
          <w:szCs w:val="24"/>
        </w:rPr>
      </w:pPr>
      <w:r w:rsidRPr="00B34608">
        <w:rPr>
          <w:color w:val="000000"/>
          <w:szCs w:val="24"/>
        </w:rPr>
        <w:t xml:space="preserve">- </w:t>
      </w:r>
      <w:r>
        <w:t>regular (</w:t>
      </w:r>
      <w:proofErr w:type="spellStart"/>
      <w:r>
        <w:rPr>
          <w:i/>
        </w:rPr>
        <w:t>ex ante</w:t>
      </w:r>
      <w:proofErr w:type="spellEnd"/>
      <w:r>
        <w:t>) contributions of deposit insurance, including payment obligations of the deposit insurance system participants to the Deposit Insurance Fund and special (ex post) contributions of deposit insurance</w:t>
      </w:r>
      <w:r w:rsidRPr="00B34608">
        <w:rPr>
          <w:color w:val="000000"/>
          <w:szCs w:val="24"/>
        </w:rPr>
        <w:t>;</w:t>
      </w:r>
    </w:p>
    <w:p w:rsidR="00D2569B" w:rsidRPr="00B34608" w:rsidRDefault="00D2569B" w:rsidP="001A3F00">
      <w:pPr>
        <w:spacing w:line="276" w:lineRule="auto"/>
        <w:ind w:firstLine="567"/>
        <w:jc w:val="both"/>
        <w:rPr>
          <w:color w:val="000000"/>
          <w:szCs w:val="24"/>
        </w:rPr>
      </w:pPr>
      <w:r w:rsidRPr="00B34608">
        <w:rPr>
          <w:color w:val="000000"/>
          <w:szCs w:val="24"/>
        </w:rPr>
        <w:t xml:space="preserve">- </w:t>
      </w:r>
      <w:r>
        <w:t>funds and/or assets received from an insolvent deposit insurance system participant during bankruptcy proceedings in accordance with the procedure laid down by laws</w:t>
      </w:r>
      <w:r w:rsidRPr="00B34608">
        <w:rPr>
          <w:color w:val="000000"/>
          <w:szCs w:val="24"/>
        </w:rPr>
        <w:t xml:space="preserve">; </w:t>
      </w:r>
    </w:p>
    <w:p w:rsidR="00D2569B" w:rsidRPr="00B34608" w:rsidRDefault="00D2569B" w:rsidP="001A3F00">
      <w:pPr>
        <w:spacing w:line="276" w:lineRule="auto"/>
        <w:ind w:firstLine="567"/>
        <w:jc w:val="both"/>
        <w:rPr>
          <w:color w:val="000000"/>
          <w:szCs w:val="24"/>
        </w:rPr>
      </w:pPr>
      <w:r w:rsidRPr="00B34608">
        <w:rPr>
          <w:color w:val="000000"/>
          <w:szCs w:val="24"/>
        </w:rPr>
        <w:t xml:space="preserve">- </w:t>
      </w:r>
      <w:r>
        <w:t>funds received after recovery of the proceeds used for the financing of resolution measures of the financial sector entities (hereinafter – resolution) under the Law of the Republic of Lithuania</w:t>
      </w:r>
      <w:r w:rsidRPr="00426E72">
        <w:t xml:space="preserve"> </w:t>
      </w:r>
      <w:r>
        <w:t>on Financial Sustainability</w:t>
      </w:r>
      <w:r w:rsidRPr="00B34608">
        <w:rPr>
          <w:color w:val="000000"/>
          <w:szCs w:val="24"/>
        </w:rPr>
        <w:t>;</w:t>
      </w:r>
    </w:p>
    <w:p w:rsidR="00D2569B" w:rsidRPr="00B34608" w:rsidRDefault="00D2569B" w:rsidP="001A3F00">
      <w:pPr>
        <w:spacing w:line="276" w:lineRule="auto"/>
        <w:ind w:firstLine="567"/>
        <w:jc w:val="both"/>
        <w:rPr>
          <w:color w:val="000000"/>
          <w:szCs w:val="24"/>
        </w:rPr>
      </w:pPr>
      <w:r w:rsidRPr="00B34608">
        <w:rPr>
          <w:color w:val="000000"/>
          <w:szCs w:val="24"/>
        </w:rPr>
        <w:t xml:space="preserve">- </w:t>
      </w:r>
      <w:r>
        <w:t>income from investments of the Deposit Insurance Fund</w:t>
      </w:r>
      <w:r w:rsidRPr="00B34608">
        <w:rPr>
          <w:color w:val="000000"/>
          <w:szCs w:val="24"/>
        </w:rPr>
        <w:t xml:space="preserve">; </w:t>
      </w:r>
    </w:p>
    <w:p w:rsidR="00D2569B" w:rsidRPr="00B34608" w:rsidRDefault="00D2569B" w:rsidP="001A3F00">
      <w:pPr>
        <w:spacing w:line="276" w:lineRule="auto"/>
        <w:ind w:firstLine="567"/>
        <w:jc w:val="both"/>
        <w:rPr>
          <w:color w:val="000000"/>
          <w:szCs w:val="24"/>
        </w:rPr>
      </w:pPr>
      <w:r w:rsidRPr="00B34608">
        <w:rPr>
          <w:color w:val="000000"/>
          <w:szCs w:val="24"/>
        </w:rPr>
        <w:t xml:space="preserve">- </w:t>
      </w:r>
      <w:r>
        <w:rPr>
          <w:color w:val="000000"/>
          <w:szCs w:val="24"/>
        </w:rPr>
        <w:t>other funds</w:t>
      </w:r>
      <w:r w:rsidRPr="00B34608">
        <w:rPr>
          <w:color w:val="000000"/>
          <w:szCs w:val="24"/>
        </w:rPr>
        <w:t>.</w:t>
      </w:r>
    </w:p>
    <w:p w:rsidR="00D2569B" w:rsidRPr="00B34608" w:rsidRDefault="00D2569B" w:rsidP="001A3F00">
      <w:pPr>
        <w:overflowPunct w:val="0"/>
        <w:spacing w:line="276" w:lineRule="auto"/>
        <w:ind w:firstLine="567"/>
        <w:jc w:val="both"/>
        <w:textAlignment w:val="baseline"/>
        <w:rPr>
          <w:rFonts w:eastAsia="Arial Unicode MS"/>
          <w:color w:val="000000"/>
          <w:szCs w:val="24"/>
        </w:rPr>
      </w:pPr>
      <w:r>
        <w:t>The proceeds of the Deposit Insurance Fund</w:t>
      </w:r>
      <w:r w:rsidRPr="00B34608">
        <w:rPr>
          <w:szCs w:val="22"/>
        </w:rPr>
        <w:t xml:space="preserve"> </w:t>
      </w:r>
      <w:r>
        <w:rPr>
          <w:szCs w:val="22"/>
        </w:rPr>
        <w:t xml:space="preserve">are used for </w:t>
      </w:r>
      <w:r w:rsidRPr="00B34608">
        <w:rPr>
          <w:szCs w:val="22"/>
        </w:rPr>
        <w:t>(</w:t>
      </w:r>
      <w:r>
        <w:rPr>
          <w:szCs w:val="22"/>
        </w:rPr>
        <w:t>Article 16(4) of the Law</w:t>
      </w:r>
      <w:r w:rsidRPr="00B34608">
        <w:rPr>
          <w:szCs w:val="22"/>
        </w:rPr>
        <w:t>)</w:t>
      </w:r>
      <w:r w:rsidRPr="00B34608">
        <w:rPr>
          <w:color w:val="000000"/>
          <w:szCs w:val="24"/>
        </w:rPr>
        <w:t>:</w:t>
      </w:r>
    </w:p>
    <w:p w:rsidR="00D2569B" w:rsidRPr="00B34608" w:rsidRDefault="00D2569B" w:rsidP="001A3F00">
      <w:pPr>
        <w:overflowPunct w:val="0"/>
        <w:spacing w:line="276" w:lineRule="auto"/>
        <w:ind w:firstLine="567"/>
        <w:jc w:val="both"/>
        <w:textAlignment w:val="baseline"/>
        <w:rPr>
          <w:rFonts w:eastAsia="Arial Unicode MS"/>
          <w:color w:val="000000"/>
          <w:szCs w:val="24"/>
        </w:rPr>
      </w:pPr>
      <w:r w:rsidRPr="00B34608">
        <w:rPr>
          <w:rFonts w:eastAsia="Arial Unicode MS"/>
          <w:color w:val="000000"/>
          <w:szCs w:val="24"/>
        </w:rPr>
        <w:t xml:space="preserve">- </w:t>
      </w:r>
      <w:r>
        <w:t>deposit insurance compensations</w:t>
      </w:r>
      <w:r w:rsidRPr="00B34608">
        <w:rPr>
          <w:rFonts w:eastAsia="Arial Unicode MS"/>
          <w:color w:val="000000"/>
          <w:szCs w:val="24"/>
        </w:rPr>
        <w:t xml:space="preserve">; </w:t>
      </w:r>
    </w:p>
    <w:p w:rsidR="00D2569B" w:rsidRPr="00B34608" w:rsidRDefault="00D2569B" w:rsidP="001A3F00">
      <w:pPr>
        <w:overflowPunct w:val="0"/>
        <w:spacing w:line="276" w:lineRule="auto"/>
        <w:ind w:firstLine="567"/>
        <w:jc w:val="both"/>
        <w:textAlignment w:val="baseline"/>
        <w:rPr>
          <w:rFonts w:eastAsia="Arial Unicode MS"/>
          <w:color w:val="000000"/>
          <w:szCs w:val="24"/>
        </w:rPr>
      </w:pPr>
      <w:r w:rsidRPr="00B34608">
        <w:rPr>
          <w:rFonts w:eastAsia="Arial Unicode MS"/>
          <w:color w:val="000000"/>
          <w:szCs w:val="24"/>
        </w:rPr>
        <w:t xml:space="preserve">- </w:t>
      </w:r>
      <w:r>
        <w:t>financing of resolution tools</w:t>
      </w:r>
      <w:r w:rsidRPr="00867DBD">
        <w:t xml:space="preserve"> </w:t>
      </w:r>
      <w:r>
        <w:t>within the meaning of Article 46 of the Law</w:t>
      </w:r>
      <w:r w:rsidRPr="00B34608">
        <w:rPr>
          <w:rFonts w:eastAsia="Arial Unicode MS"/>
          <w:color w:val="000000"/>
          <w:szCs w:val="24"/>
        </w:rPr>
        <w:t>;</w:t>
      </w:r>
    </w:p>
    <w:p w:rsidR="00D2569B" w:rsidRPr="00B34608" w:rsidRDefault="00D2569B" w:rsidP="001A3F00">
      <w:pPr>
        <w:overflowPunct w:val="0"/>
        <w:spacing w:line="276" w:lineRule="auto"/>
        <w:ind w:firstLine="567"/>
        <w:jc w:val="both"/>
        <w:textAlignment w:val="baseline"/>
        <w:rPr>
          <w:rFonts w:eastAsia="Arial Unicode MS"/>
          <w:szCs w:val="24"/>
        </w:rPr>
      </w:pPr>
      <w:r w:rsidRPr="00B34608">
        <w:rPr>
          <w:rFonts w:eastAsia="Arial Unicode MS"/>
          <w:color w:val="000000"/>
          <w:szCs w:val="24"/>
        </w:rPr>
        <w:lastRenderedPageBreak/>
        <w:t xml:space="preserve">- </w:t>
      </w:r>
      <w:r>
        <w:t>financing of the transfer of assets, rights, transactions and liabilities of a credit union within the meaning of Article 47 of the Law</w:t>
      </w:r>
      <w:r w:rsidRPr="00B34608">
        <w:rPr>
          <w:rFonts w:eastAsia="Arial Unicode MS"/>
          <w:color w:val="000000"/>
          <w:szCs w:val="24"/>
        </w:rPr>
        <w:t>;</w:t>
      </w:r>
    </w:p>
    <w:p w:rsidR="00D2569B" w:rsidRPr="00B34608" w:rsidRDefault="00D2569B" w:rsidP="001A3F00">
      <w:pPr>
        <w:spacing w:line="276" w:lineRule="auto"/>
        <w:ind w:firstLine="567"/>
        <w:jc w:val="both"/>
        <w:rPr>
          <w:szCs w:val="22"/>
        </w:rPr>
      </w:pPr>
      <w:r w:rsidRPr="00B34608">
        <w:rPr>
          <w:rFonts w:eastAsia="Arial Unicode MS"/>
          <w:color w:val="000000"/>
          <w:szCs w:val="24"/>
        </w:rPr>
        <w:t xml:space="preserve">- </w:t>
      </w:r>
      <w:r>
        <w:t>covering the costs of administration of the Fund</w:t>
      </w:r>
      <w:r w:rsidRPr="00B34608">
        <w:rPr>
          <w:rFonts w:eastAsia="Arial Unicode MS"/>
          <w:color w:val="000000"/>
          <w:szCs w:val="24"/>
        </w:rPr>
        <w:t>.</w:t>
      </w:r>
    </w:p>
    <w:p w:rsidR="00D2569B" w:rsidRPr="00B34608" w:rsidRDefault="00D2569B" w:rsidP="001A3F00">
      <w:pPr>
        <w:spacing w:line="276" w:lineRule="auto"/>
        <w:ind w:firstLine="567"/>
        <w:jc w:val="both"/>
        <w:rPr>
          <w:szCs w:val="22"/>
        </w:rPr>
      </w:pPr>
      <w:r>
        <w:rPr>
          <w:szCs w:val="22"/>
        </w:rPr>
        <w:t>In administrating the Fund, the Company performs the following main functions</w:t>
      </w:r>
      <w:r w:rsidRPr="00B34608">
        <w:rPr>
          <w:szCs w:val="22"/>
        </w:rPr>
        <w:t>:</w:t>
      </w:r>
    </w:p>
    <w:p w:rsidR="00D2569B" w:rsidRPr="00B34608" w:rsidRDefault="00D2569B" w:rsidP="001A3F00">
      <w:pPr>
        <w:overflowPunct w:val="0"/>
        <w:spacing w:line="276" w:lineRule="auto"/>
        <w:ind w:firstLine="567"/>
        <w:jc w:val="both"/>
        <w:textAlignment w:val="baseline"/>
      </w:pPr>
      <w:r>
        <w:t>- collects and accumulates deposit insurance contributions</w:t>
      </w:r>
      <w:r w:rsidRPr="00B34608">
        <w:t>;</w:t>
      </w:r>
    </w:p>
    <w:p w:rsidR="00D2569B" w:rsidRPr="00B34608" w:rsidRDefault="00D2569B" w:rsidP="001A3F00">
      <w:pPr>
        <w:overflowPunct w:val="0"/>
        <w:spacing w:line="276" w:lineRule="auto"/>
        <w:ind w:firstLine="567"/>
        <w:jc w:val="both"/>
        <w:textAlignment w:val="baseline"/>
      </w:pPr>
      <w:r w:rsidRPr="00B34608">
        <w:t xml:space="preserve">- </w:t>
      </w:r>
      <w:r>
        <w:t>calculates and pays deposit insurance compensations</w:t>
      </w:r>
      <w:r w:rsidRPr="00B34608">
        <w:t>;</w:t>
      </w:r>
    </w:p>
    <w:p w:rsidR="00D2569B" w:rsidRPr="00B34608" w:rsidRDefault="00D2569B" w:rsidP="001A3F00">
      <w:pPr>
        <w:overflowPunct w:val="0"/>
        <w:spacing w:line="276" w:lineRule="auto"/>
        <w:ind w:firstLine="567"/>
        <w:jc w:val="both"/>
        <w:textAlignment w:val="baseline"/>
      </w:pPr>
      <w:r w:rsidRPr="00B34608">
        <w:t>- invest</w:t>
      </w:r>
      <w:r>
        <w:t>s the proceeds of the</w:t>
      </w:r>
      <w:r w:rsidRPr="00B34608">
        <w:t xml:space="preserve"> </w:t>
      </w:r>
      <w:r>
        <w:t>Deposit Insurance Fund</w:t>
      </w:r>
      <w:r w:rsidRPr="00B34608">
        <w:t xml:space="preserve">; </w:t>
      </w:r>
    </w:p>
    <w:p w:rsidR="00D2569B" w:rsidRPr="00B34608" w:rsidRDefault="00D2569B" w:rsidP="001A3F00">
      <w:pPr>
        <w:overflowPunct w:val="0"/>
        <w:spacing w:line="276" w:lineRule="auto"/>
        <w:ind w:firstLine="567"/>
        <w:jc w:val="both"/>
        <w:textAlignment w:val="baseline"/>
      </w:pPr>
      <w:r>
        <w:t>- handles the Fund’s accounting</w:t>
      </w:r>
      <w:r w:rsidRPr="00B34608">
        <w:t xml:space="preserve">, </w:t>
      </w:r>
      <w:r>
        <w:t xml:space="preserve">prepares the sets of financial statements, the estimates of income and expenses and submits them for approval to the institution implementing rights and obligations of the </w:t>
      </w:r>
      <w:r w:rsidRPr="00B34608">
        <w:t xml:space="preserve"> </w:t>
      </w:r>
      <w:r>
        <w:t>insurance</w:t>
      </w:r>
      <w:r w:rsidRPr="00B34608">
        <w:t xml:space="preserve"> </w:t>
      </w:r>
      <w:r>
        <w:t>company</w:t>
      </w:r>
      <w:r w:rsidRPr="00B34608">
        <w:t>;</w:t>
      </w:r>
    </w:p>
    <w:p w:rsidR="00D2569B" w:rsidRPr="00B34608" w:rsidRDefault="00D2569B" w:rsidP="001A3F00">
      <w:pPr>
        <w:overflowPunct w:val="0"/>
        <w:spacing w:line="276" w:lineRule="auto"/>
        <w:ind w:firstLine="567"/>
        <w:jc w:val="both"/>
        <w:textAlignment w:val="baseline"/>
      </w:pPr>
      <w:r w:rsidRPr="00B34608">
        <w:t xml:space="preserve">- </w:t>
      </w:r>
      <w:r>
        <w:t>monitors the compliance of the deposit insurance system participants with the requirements established by the Law</w:t>
      </w:r>
      <w:r w:rsidRPr="00B34608">
        <w:t xml:space="preserve"> </w:t>
      </w:r>
      <w:r>
        <w:t>and its implementing legislation</w:t>
      </w:r>
      <w:r w:rsidRPr="00B34608">
        <w:t>;</w:t>
      </w:r>
    </w:p>
    <w:p w:rsidR="00D2569B" w:rsidRPr="00B34608" w:rsidRDefault="00D2569B" w:rsidP="001A3F00">
      <w:pPr>
        <w:overflowPunct w:val="0"/>
        <w:spacing w:line="276" w:lineRule="auto"/>
        <w:ind w:firstLine="567"/>
        <w:jc w:val="both"/>
        <w:textAlignment w:val="baseline"/>
      </w:pPr>
      <w:r w:rsidRPr="00B34608">
        <w:t xml:space="preserve">- </w:t>
      </w:r>
      <w:r>
        <w:t>evaluates the conditions of guaranteeing deposit insurance (compensation) or other type of security of third countries the credit institutions, financial brokerage firms or management companies of which establish branches in the Republic of Lithuania</w:t>
      </w:r>
      <w:r w:rsidRPr="00B34608">
        <w:t>;</w:t>
      </w:r>
    </w:p>
    <w:p w:rsidR="00D2569B" w:rsidRPr="00B34608" w:rsidRDefault="00D2569B" w:rsidP="001A3F00">
      <w:pPr>
        <w:overflowPunct w:val="0"/>
        <w:spacing w:line="276" w:lineRule="auto"/>
        <w:ind w:firstLine="567"/>
        <w:jc w:val="both"/>
        <w:textAlignment w:val="baseline"/>
      </w:pPr>
      <w:r>
        <w:t>- assesses the risk of the</w:t>
      </w:r>
      <w:r w:rsidRPr="00B34608">
        <w:t xml:space="preserve"> </w:t>
      </w:r>
      <w:r>
        <w:t>Deposit Insurance Fund</w:t>
      </w:r>
      <w:r w:rsidRPr="00B34608">
        <w:t>;</w:t>
      </w:r>
    </w:p>
    <w:p w:rsidR="00D2569B" w:rsidRPr="00B34608" w:rsidRDefault="00D2569B" w:rsidP="001A3F00">
      <w:pPr>
        <w:overflowPunct w:val="0"/>
        <w:spacing w:line="276" w:lineRule="auto"/>
        <w:ind w:firstLine="567"/>
        <w:jc w:val="both"/>
        <w:textAlignment w:val="baseline"/>
      </w:pPr>
      <w:r w:rsidRPr="00B34608">
        <w:t xml:space="preserve">- </w:t>
      </w:r>
      <w:r>
        <w:t xml:space="preserve">cooperates and exchanges information with deposit insurance system administrators, supervisory authorities of other Member States and third countries and with the </w:t>
      </w:r>
      <w:r w:rsidRPr="00B34608">
        <w:t>Europ</w:t>
      </w:r>
      <w:r>
        <w:t>ean Banking Authority</w:t>
      </w:r>
      <w:r w:rsidRPr="00B34608">
        <w:t xml:space="preserve">; </w:t>
      </w:r>
    </w:p>
    <w:p w:rsidR="00D2569B" w:rsidRPr="00B34608" w:rsidRDefault="00D2569B" w:rsidP="001A3F00">
      <w:pPr>
        <w:overflowPunct w:val="0"/>
        <w:spacing w:line="276" w:lineRule="auto"/>
        <w:ind w:firstLine="567"/>
        <w:jc w:val="both"/>
        <w:textAlignment w:val="baseline"/>
      </w:pPr>
      <w:r>
        <w:t>- carries out stress testing of the deposit insurance system</w:t>
      </w:r>
      <w:r w:rsidRPr="00B34608">
        <w:t>;</w:t>
      </w:r>
    </w:p>
    <w:p w:rsidR="00D2569B" w:rsidRPr="00B34608" w:rsidRDefault="00D2569B" w:rsidP="00A50C26">
      <w:pPr>
        <w:overflowPunct w:val="0"/>
        <w:spacing w:line="276" w:lineRule="auto"/>
        <w:ind w:firstLine="567"/>
        <w:jc w:val="both"/>
        <w:textAlignment w:val="baseline"/>
        <w:rPr>
          <w:color w:val="000000"/>
          <w:szCs w:val="24"/>
        </w:rPr>
      </w:pPr>
      <w:r w:rsidRPr="00B34608">
        <w:t xml:space="preserve">- </w:t>
      </w:r>
      <w:r>
        <w:t>performs other functions assigned to it by virtue of laws</w:t>
      </w:r>
      <w:r w:rsidRPr="00B34608">
        <w:t>.</w:t>
      </w:r>
    </w:p>
    <w:p w:rsidR="00D2569B" w:rsidRPr="00B34608" w:rsidRDefault="00D2569B" w:rsidP="00896307">
      <w:pPr>
        <w:pStyle w:val="Antrat2"/>
        <w:numPr>
          <w:ilvl w:val="0"/>
          <w:numId w:val="18"/>
        </w:numPr>
        <w:ind w:left="426" w:hanging="426"/>
        <w:rPr>
          <w:sz w:val="24"/>
          <w:szCs w:val="24"/>
        </w:rPr>
      </w:pPr>
      <w:bookmarkStart w:id="16" w:name="_Toc441324021"/>
      <w:r>
        <w:rPr>
          <w:sz w:val="24"/>
          <w:szCs w:val="24"/>
        </w:rPr>
        <w:t xml:space="preserve">Summary </w:t>
      </w:r>
      <w:bookmarkEnd w:id="16"/>
      <w:r>
        <w:rPr>
          <w:sz w:val="24"/>
          <w:szCs w:val="24"/>
        </w:rPr>
        <w:t>of significant principles of accounting</w:t>
      </w:r>
    </w:p>
    <w:p w:rsidR="00D2569B" w:rsidRPr="00B34608" w:rsidRDefault="00D2569B" w:rsidP="00666BD1">
      <w:pPr>
        <w:rPr>
          <w:sz w:val="24"/>
          <w:szCs w:val="24"/>
        </w:rPr>
      </w:pPr>
    </w:p>
    <w:p w:rsidR="00D2569B" w:rsidRPr="00B34608" w:rsidRDefault="00D2569B" w:rsidP="004A2C66">
      <w:pPr>
        <w:ind w:firstLine="426"/>
        <w:jc w:val="both"/>
      </w:pPr>
      <w:r>
        <w:t xml:space="preserve">The main principles of accounting applied in preparing financial statements of the Fund for the year ended 31 December </w:t>
      </w:r>
      <w:r w:rsidRPr="00B34608">
        <w:t xml:space="preserve">2017 </w:t>
      </w:r>
      <w:r>
        <w:t>are as follows</w:t>
      </w:r>
      <w:r w:rsidRPr="00B34608">
        <w:t>:</w:t>
      </w:r>
    </w:p>
    <w:p w:rsidR="00D2569B" w:rsidRPr="00B34608" w:rsidRDefault="00D2569B" w:rsidP="003D27D4">
      <w:pPr>
        <w:pStyle w:val="Antrat3"/>
        <w:numPr>
          <w:ilvl w:val="1"/>
          <w:numId w:val="18"/>
        </w:numPr>
        <w:tabs>
          <w:tab w:val="left" w:pos="0"/>
        </w:tabs>
        <w:spacing w:before="240" w:line="360" w:lineRule="auto"/>
        <w:rPr>
          <w:b/>
          <w:sz w:val="24"/>
        </w:rPr>
      </w:pPr>
      <w:bookmarkStart w:id="17" w:name="_Toc441324022"/>
      <w:bookmarkStart w:id="18" w:name="_Toc441324023"/>
      <w:bookmarkStart w:id="19" w:name="_Toc67212669"/>
      <w:r w:rsidRPr="00B34608">
        <w:rPr>
          <w:b/>
          <w:sz w:val="24"/>
        </w:rPr>
        <w:t>F</w:t>
      </w:r>
      <w:r>
        <w:rPr>
          <w:b/>
          <w:sz w:val="24"/>
        </w:rPr>
        <w:t>orm of financial statements</w:t>
      </w:r>
      <w:r w:rsidRPr="00B34608">
        <w:rPr>
          <w:b/>
          <w:sz w:val="24"/>
        </w:rPr>
        <w:t xml:space="preserve"> </w:t>
      </w:r>
    </w:p>
    <w:p w:rsidR="00D2569B" w:rsidRPr="00B34608" w:rsidRDefault="00D2569B" w:rsidP="0044798A">
      <w:pPr>
        <w:tabs>
          <w:tab w:val="left" w:pos="0"/>
        </w:tabs>
        <w:spacing w:line="276" w:lineRule="auto"/>
        <w:jc w:val="both"/>
      </w:pPr>
      <w:r w:rsidRPr="00B34608">
        <w:t xml:space="preserve">       </w:t>
      </w:r>
      <w:r>
        <w:t>The Fund’s financial statements of</w:t>
      </w:r>
      <w:r w:rsidRPr="00B34608">
        <w:t xml:space="preserve"> 2017 </w:t>
      </w:r>
      <w:r>
        <w:t xml:space="preserve">have been prepared according to the Public Sector Accounting and Financial Reporting Standards </w:t>
      </w:r>
      <w:r w:rsidRPr="00B34608">
        <w:t>(</w:t>
      </w:r>
      <w:r>
        <w:t>hereinafter</w:t>
      </w:r>
      <w:r w:rsidRPr="00B34608">
        <w:t xml:space="preserve"> – </w:t>
      </w:r>
      <w:r>
        <w:t>PSAFRS</w:t>
      </w:r>
      <w:r w:rsidRPr="00B34608">
        <w:t>)</w:t>
      </w:r>
      <w:r>
        <w:t xml:space="preserve">, which include the standards and interpretations approved by the Minister of Finance of the Republic of Lithuania before 31 December </w:t>
      </w:r>
      <w:r w:rsidRPr="00B34608">
        <w:t xml:space="preserve">2017. </w:t>
      </w:r>
    </w:p>
    <w:p w:rsidR="00D2569B" w:rsidRPr="00B34608" w:rsidRDefault="00D2569B" w:rsidP="002A2F3D">
      <w:pPr>
        <w:spacing w:line="276" w:lineRule="auto"/>
        <w:ind w:firstLine="567"/>
        <w:jc w:val="both"/>
      </w:pPr>
      <w:r>
        <w:t>The financial year of the Fund</w:t>
      </w:r>
      <w:r w:rsidRPr="00B34608">
        <w:t xml:space="preserve"> </w:t>
      </w:r>
      <w:r>
        <w:t>corresponds to the calendar year</w:t>
      </w:r>
      <w:r w:rsidRPr="00B34608">
        <w:t>.</w:t>
      </w:r>
    </w:p>
    <w:bookmarkEnd w:id="17"/>
    <w:p w:rsidR="00D2569B" w:rsidRPr="00B34608" w:rsidRDefault="00D2569B" w:rsidP="00325572">
      <w:pPr>
        <w:pStyle w:val="Antrat3"/>
        <w:numPr>
          <w:ilvl w:val="1"/>
          <w:numId w:val="18"/>
        </w:numPr>
        <w:tabs>
          <w:tab w:val="left" w:pos="0"/>
        </w:tabs>
        <w:rPr>
          <w:sz w:val="24"/>
          <w:szCs w:val="24"/>
        </w:rPr>
      </w:pPr>
      <w:r>
        <w:rPr>
          <w:b/>
          <w:sz w:val="24"/>
        </w:rPr>
        <w:t>Conformity of f</w:t>
      </w:r>
      <w:r w:rsidRPr="00B34608">
        <w:rPr>
          <w:b/>
          <w:sz w:val="24"/>
        </w:rPr>
        <w:t>inan</w:t>
      </w:r>
      <w:r>
        <w:rPr>
          <w:b/>
          <w:sz w:val="24"/>
        </w:rPr>
        <w:t>cial statements with the Standards</w:t>
      </w:r>
    </w:p>
    <w:p w:rsidR="00D2569B" w:rsidRPr="00B34608" w:rsidRDefault="00D2569B" w:rsidP="00325572"/>
    <w:p w:rsidR="00D2569B" w:rsidRPr="00B34608" w:rsidRDefault="00D2569B" w:rsidP="00325572">
      <w:pPr>
        <w:tabs>
          <w:tab w:val="left" w:pos="0"/>
        </w:tabs>
        <w:jc w:val="both"/>
      </w:pPr>
      <w:r w:rsidRPr="00B34608">
        <w:t xml:space="preserve">    </w:t>
      </w:r>
      <w:r>
        <w:t>The Fund’s financial statements of</w:t>
      </w:r>
      <w:r w:rsidRPr="00B34608">
        <w:t xml:space="preserve"> 2017 </w:t>
      </w:r>
      <w:r>
        <w:t>have been prepared according to the PSAFRS and in observance of Article 45(1) of the</w:t>
      </w:r>
      <w:r w:rsidRPr="00B34608">
        <w:t xml:space="preserve"> </w:t>
      </w:r>
      <w:r>
        <w:t>Law</w:t>
      </w:r>
      <w:r w:rsidRPr="00B34608">
        <w:t xml:space="preserve">. </w:t>
      </w:r>
    </w:p>
    <w:p w:rsidR="00D2569B" w:rsidRPr="00B34608" w:rsidRDefault="00D2569B" w:rsidP="00325572">
      <w:pPr>
        <w:tabs>
          <w:tab w:val="left" w:pos="0"/>
        </w:tabs>
        <w:jc w:val="both"/>
      </w:pPr>
    </w:p>
    <w:p w:rsidR="00D2569B" w:rsidRPr="00B34608" w:rsidRDefault="00D2569B" w:rsidP="00A563B5">
      <w:pPr>
        <w:pStyle w:val="Antrat3"/>
        <w:numPr>
          <w:ilvl w:val="1"/>
          <w:numId w:val="18"/>
        </w:numPr>
        <w:tabs>
          <w:tab w:val="left" w:pos="0"/>
        </w:tabs>
        <w:spacing w:before="240" w:line="360" w:lineRule="auto"/>
        <w:rPr>
          <w:b/>
          <w:sz w:val="24"/>
        </w:rPr>
      </w:pPr>
      <w:r>
        <w:rPr>
          <w:b/>
          <w:sz w:val="24"/>
        </w:rPr>
        <w:t xml:space="preserve">Reporting currency </w:t>
      </w:r>
      <w:bookmarkEnd w:id="18"/>
    </w:p>
    <w:p w:rsidR="00D2569B" w:rsidRPr="00B34608" w:rsidRDefault="00D2569B" w:rsidP="00997695">
      <w:pPr>
        <w:jc w:val="both"/>
      </w:pPr>
      <w:bookmarkStart w:id="20" w:name="_Toc441324028"/>
      <w:bookmarkEnd w:id="19"/>
      <w:r w:rsidRPr="00B34608">
        <w:t xml:space="preserve">      </w:t>
      </w:r>
      <w:r>
        <w:t>The Fund’s accounting records are kept and all amounts in these financial statements are presented in euro (EUR)</w:t>
      </w:r>
      <w:r w:rsidRPr="00B34608">
        <w:t xml:space="preserve">.  </w:t>
      </w:r>
    </w:p>
    <w:p w:rsidR="00D2569B" w:rsidRPr="00B34608" w:rsidRDefault="00D2569B" w:rsidP="00430229">
      <w:pPr>
        <w:pStyle w:val="Antrat3"/>
        <w:numPr>
          <w:ilvl w:val="1"/>
          <w:numId w:val="18"/>
        </w:numPr>
        <w:tabs>
          <w:tab w:val="left" w:pos="0"/>
        </w:tabs>
        <w:spacing w:before="360"/>
        <w:rPr>
          <w:b/>
          <w:sz w:val="24"/>
        </w:rPr>
      </w:pPr>
      <w:r>
        <w:rPr>
          <w:b/>
          <w:sz w:val="24"/>
        </w:rPr>
        <w:t>Prepayments</w:t>
      </w:r>
    </w:p>
    <w:p w:rsidR="00D2569B" w:rsidRPr="00B34608" w:rsidRDefault="00D2569B" w:rsidP="0044798A">
      <w:pPr>
        <w:pStyle w:val="Pagrindinistekstas"/>
        <w:spacing w:line="276" w:lineRule="auto"/>
        <w:rPr>
          <w:szCs w:val="22"/>
        </w:rPr>
      </w:pPr>
      <w:r w:rsidRPr="00B34608">
        <w:rPr>
          <w:color w:val="000000"/>
          <w:szCs w:val="22"/>
        </w:rPr>
        <w:t xml:space="preserve">       </w:t>
      </w:r>
      <w:r>
        <w:rPr>
          <w:color w:val="000000"/>
          <w:szCs w:val="22"/>
        </w:rPr>
        <w:t>According to</w:t>
      </w:r>
      <w:r w:rsidRPr="00B34608">
        <w:rPr>
          <w:color w:val="000000"/>
          <w:szCs w:val="22"/>
        </w:rPr>
        <w:t xml:space="preserve"> 17 </w:t>
      </w:r>
      <w:r>
        <w:rPr>
          <w:color w:val="000000"/>
          <w:szCs w:val="22"/>
        </w:rPr>
        <w:t>PSAFRS</w:t>
      </w:r>
      <w:r w:rsidRPr="00B34608">
        <w:rPr>
          <w:color w:val="000000"/>
          <w:szCs w:val="22"/>
        </w:rPr>
        <w:t xml:space="preserve"> </w:t>
      </w:r>
      <w:r>
        <w:rPr>
          <w:color w:val="000000"/>
          <w:szCs w:val="22"/>
        </w:rPr>
        <w:t>‘</w:t>
      </w:r>
      <w:r w:rsidRPr="00B34608">
        <w:rPr>
          <w:color w:val="000000"/>
          <w:szCs w:val="22"/>
        </w:rPr>
        <w:t>Finan</w:t>
      </w:r>
      <w:r>
        <w:rPr>
          <w:color w:val="000000"/>
          <w:szCs w:val="22"/>
        </w:rPr>
        <w:t>cial assets and</w:t>
      </w:r>
      <w:r w:rsidRPr="00B34608">
        <w:rPr>
          <w:color w:val="000000"/>
          <w:szCs w:val="22"/>
        </w:rPr>
        <w:t xml:space="preserve"> </w:t>
      </w:r>
      <w:r>
        <w:rPr>
          <w:color w:val="000000"/>
          <w:szCs w:val="22"/>
        </w:rPr>
        <w:t>financial</w:t>
      </w:r>
      <w:r w:rsidRPr="00B34608">
        <w:rPr>
          <w:color w:val="000000"/>
          <w:szCs w:val="22"/>
        </w:rPr>
        <w:t xml:space="preserve"> </w:t>
      </w:r>
      <w:r>
        <w:rPr>
          <w:color w:val="000000"/>
          <w:szCs w:val="22"/>
        </w:rPr>
        <w:t>liabilities’</w:t>
      </w:r>
      <w:r w:rsidRPr="00B34608">
        <w:rPr>
          <w:color w:val="000000"/>
          <w:szCs w:val="22"/>
        </w:rPr>
        <w:t xml:space="preserve"> </w:t>
      </w:r>
      <w:r>
        <w:rPr>
          <w:color w:val="000000"/>
          <w:szCs w:val="22"/>
        </w:rPr>
        <w:t>amounts of prepayments in the statement of financial position are reflected at net value, having deducted depreciation from acquisition cost</w:t>
      </w:r>
      <w:r w:rsidRPr="00B34608">
        <w:rPr>
          <w:szCs w:val="22"/>
        </w:rPr>
        <w:t>.</w:t>
      </w:r>
    </w:p>
    <w:p w:rsidR="00D2569B" w:rsidRPr="00B34608" w:rsidRDefault="00D2569B" w:rsidP="00430229">
      <w:pPr>
        <w:pStyle w:val="Antrat3"/>
        <w:numPr>
          <w:ilvl w:val="1"/>
          <w:numId w:val="18"/>
        </w:numPr>
        <w:tabs>
          <w:tab w:val="left" w:pos="0"/>
        </w:tabs>
        <w:spacing w:before="360"/>
        <w:rPr>
          <w:b/>
          <w:sz w:val="24"/>
        </w:rPr>
      </w:pPr>
      <w:r>
        <w:rPr>
          <w:b/>
          <w:sz w:val="24"/>
        </w:rPr>
        <w:t>Receivables</w:t>
      </w:r>
      <w:bookmarkEnd w:id="20"/>
    </w:p>
    <w:p w:rsidR="00D2569B" w:rsidRPr="00B34608" w:rsidRDefault="00D2569B" w:rsidP="00A162B0">
      <w:pPr>
        <w:autoSpaceDE w:val="0"/>
        <w:autoSpaceDN w:val="0"/>
        <w:adjustRightInd w:val="0"/>
        <w:rPr>
          <w:rFonts w:ascii="Arial" w:hAnsi="Arial" w:cs="Arial"/>
          <w:sz w:val="18"/>
        </w:rPr>
      </w:pPr>
    </w:p>
    <w:p w:rsidR="00D2569B" w:rsidRPr="00B34608" w:rsidRDefault="00D2569B" w:rsidP="0044798A">
      <w:pPr>
        <w:pStyle w:val="Pagrindinistekstas"/>
        <w:spacing w:before="0" w:after="0" w:line="276" w:lineRule="auto"/>
        <w:rPr>
          <w:color w:val="000000"/>
          <w:szCs w:val="22"/>
        </w:rPr>
      </w:pPr>
      <w:r w:rsidRPr="00B34608">
        <w:rPr>
          <w:color w:val="000000"/>
          <w:szCs w:val="22"/>
        </w:rPr>
        <w:lastRenderedPageBreak/>
        <w:t xml:space="preserve">         </w:t>
      </w:r>
      <w:r>
        <w:rPr>
          <w:color w:val="000000"/>
          <w:szCs w:val="22"/>
        </w:rPr>
        <w:t>According to</w:t>
      </w:r>
      <w:r w:rsidRPr="00B34608">
        <w:rPr>
          <w:color w:val="000000"/>
          <w:szCs w:val="22"/>
        </w:rPr>
        <w:t xml:space="preserve"> 17 </w:t>
      </w:r>
      <w:r>
        <w:rPr>
          <w:color w:val="000000"/>
          <w:szCs w:val="22"/>
        </w:rPr>
        <w:t>PSAFRS</w:t>
      </w:r>
      <w:r w:rsidRPr="00B34608">
        <w:rPr>
          <w:color w:val="000000"/>
          <w:szCs w:val="22"/>
        </w:rPr>
        <w:t xml:space="preserve"> </w:t>
      </w:r>
      <w:r>
        <w:rPr>
          <w:color w:val="000000"/>
          <w:szCs w:val="22"/>
        </w:rPr>
        <w:t>‘</w:t>
      </w:r>
      <w:r w:rsidRPr="00B34608">
        <w:rPr>
          <w:color w:val="000000"/>
          <w:szCs w:val="22"/>
        </w:rPr>
        <w:t>Finan</w:t>
      </w:r>
      <w:r>
        <w:rPr>
          <w:color w:val="000000"/>
          <w:szCs w:val="22"/>
        </w:rPr>
        <w:t>cial assets and</w:t>
      </w:r>
      <w:r w:rsidRPr="00B34608">
        <w:rPr>
          <w:color w:val="000000"/>
          <w:szCs w:val="22"/>
        </w:rPr>
        <w:t xml:space="preserve"> </w:t>
      </w:r>
      <w:r>
        <w:rPr>
          <w:color w:val="000000"/>
          <w:szCs w:val="22"/>
        </w:rPr>
        <w:t>financial</w:t>
      </w:r>
      <w:r w:rsidRPr="00B34608">
        <w:rPr>
          <w:color w:val="000000"/>
          <w:szCs w:val="22"/>
        </w:rPr>
        <w:t xml:space="preserve"> </w:t>
      </w:r>
      <w:r>
        <w:rPr>
          <w:color w:val="000000"/>
          <w:szCs w:val="22"/>
        </w:rPr>
        <w:t>liabilities’ receivables are measured at acquisition cost upon initial recognition</w:t>
      </w:r>
      <w:r w:rsidRPr="00B34608">
        <w:rPr>
          <w:color w:val="000000"/>
          <w:szCs w:val="22"/>
        </w:rPr>
        <w:t xml:space="preserve">. </w:t>
      </w:r>
      <w:r>
        <w:rPr>
          <w:color w:val="000000"/>
          <w:szCs w:val="22"/>
        </w:rPr>
        <w:t>Financial assets</w:t>
      </w:r>
      <w:r w:rsidRPr="00B34608">
        <w:rPr>
          <w:color w:val="000000"/>
          <w:szCs w:val="22"/>
        </w:rPr>
        <w:t xml:space="preserve"> </w:t>
      </w:r>
      <w:r>
        <w:rPr>
          <w:color w:val="000000"/>
          <w:szCs w:val="22"/>
        </w:rPr>
        <w:t>are recognised in the accounting when a public sector entity receives or becomes entitled to receive money or other</w:t>
      </w:r>
      <w:r w:rsidRPr="00B34608">
        <w:rPr>
          <w:color w:val="000000"/>
          <w:szCs w:val="22"/>
        </w:rPr>
        <w:t xml:space="preserve"> </w:t>
      </w:r>
      <w:r>
        <w:rPr>
          <w:color w:val="000000"/>
          <w:szCs w:val="22"/>
        </w:rPr>
        <w:t>financial assets</w:t>
      </w:r>
      <w:r w:rsidRPr="00B34608">
        <w:rPr>
          <w:color w:val="000000"/>
          <w:szCs w:val="22"/>
        </w:rPr>
        <w:t xml:space="preserve">. </w:t>
      </w:r>
      <w:r>
        <w:rPr>
          <w:color w:val="000000"/>
          <w:szCs w:val="22"/>
        </w:rPr>
        <w:t>In observance of</w:t>
      </w:r>
      <w:r w:rsidRPr="00B34608">
        <w:rPr>
          <w:color w:val="000000"/>
          <w:szCs w:val="22"/>
        </w:rPr>
        <w:t xml:space="preserve"> 18 </w:t>
      </w:r>
      <w:r>
        <w:rPr>
          <w:color w:val="000000"/>
          <w:szCs w:val="22"/>
        </w:rPr>
        <w:t>PSAFRS</w:t>
      </w:r>
      <w:r w:rsidRPr="00B34608">
        <w:rPr>
          <w:color w:val="000000"/>
          <w:szCs w:val="22"/>
        </w:rPr>
        <w:t xml:space="preserve"> </w:t>
      </w:r>
      <w:r>
        <w:rPr>
          <w:color w:val="000000"/>
          <w:szCs w:val="22"/>
        </w:rPr>
        <w:t>‘Provisions</w:t>
      </w:r>
      <w:r w:rsidRPr="00B34608">
        <w:rPr>
          <w:color w:val="000000"/>
          <w:szCs w:val="22"/>
        </w:rPr>
        <w:t xml:space="preserve">, </w:t>
      </w:r>
      <w:r>
        <w:rPr>
          <w:color w:val="000000"/>
          <w:szCs w:val="22"/>
        </w:rPr>
        <w:t>contingent</w:t>
      </w:r>
      <w:r w:rsidRPr="00B34608">
        <w:rPr>
          <w:color w:val="000000"/>
          <w:szCs w:val="22"/>
        </w:rPr>
        <w:t xml:space="preserve"> </w:t>
      </w:r>
      <w:r>
        <w:rPr>
          <w:color w:val="000000"/>
          <w:szCs w:val="22"/>
        </w:rPr>
        <w:t>liabilities</w:t>
      </w:r>
      <w:r w:rsidRPr="00B34608">
        <w:rPr>
          <w:color w:val="000000"/>
          <w:szCs w:val="22"/>
        </w:rPr>
        <w:t xml:space="preserve">, </w:t>
      </w:r>
      <w:r>
        <w:rPr>
          <w:color w:val="000000"/>
          <w:szCs w:val="22"/>
        </w:rPr>
        <w:t>contingent assets and</w:t>
      </w:r>
      <w:r w:rsidRPr="00B34608">
        <w:rPr>
          <w:color w:val="000000"/>
          <w:szCs w:val="22"/>
        </w:rPr>
        <w:t xml:space="preserve"> </w:t>
      </w:r>
      <w:r>
        <w:rPr>
          <w:color w:val="000000"/>
          <w:szCs w:val="22"/>
        </w:rPr>
        <w:t>events after the balance sheet date’</w:t>
      </w:r>
      <w:r w:rsidRPr="00B34608">
        <w:rPr>
          <w:color w:val="000000"/>
          <w:szCs w:val="22"/>
        </w:rPr>
        <w:t xml:space="preserve"> </w:t>
      </w:r>
      <w:r>
        <w:rPr>
          <w:color w:val="000000"/>
          <w:szCs w:val="22"/>
        </w:rPr>
        <w:t>contingent assets of the public sector entity</w:t>
      </w:r>
      <w:r w:rsidRPr="00B34608">
        <w:rPr>
          <w:color w:val="000000"/>
          <w:szCs w:val="22"/>
        </w:rPr>
        <w:t xml:space="preserve"> </w:t>
      </w:r>
      <w:r>
        <w:rPr>
          <w:color w:val="000000"/>
          <w:szCs w:val="22"/>
        </w:rPr>
        <w:t xml:space="preserve">means </w:t>
      </w:r>
      <w:r w:rsidRPr="00B64DC7">
        <w:rPr>
          <w:szCs w:val="22"/>
        </w:rPr>
        <w:t>possible asset</w:t>
      </w:r>
      <w:r>
        <w:rPr>
          <w:szCs w:val="22"/>
        </w:rPr>
        <w:t>s</w:t>
      </w:r>
      <w:r w:rsidRPr="00B64DC7">
        <w:rPr>
          <w:szCs w:val="22"/>
        </w:rPr>
        <w:t xml:space="preserve"> that arise from past events and </w:t>
      </w:r>
      <w:r>
        <w:rPr>
          <w:szCs w:val="22"/>
        </w:rPr>
        <w:t>the</w:t>
      </w:r>
      <w:r w:rsidRPr="00B64DC7">
        <w:rPr>
          <w:szCs w:val="22"/>
        </w:rPr>
        <w:t xml:space="preserve"> existence</w:t>
      </w:r>
      <w:r>
        <w:rPr>
          <w:szCs w:val="22"/>
        </w:rPr>
        <w:t xml:space="preserve"> of which</w:t>
      </w:r>
      <w:r w:rsidRPr="00B64DC7">
        <w:rPr>
          <w:szCs w:val="22"/>
        </w:rPr>
        <w:t xml:space="preserve"> will be confirmed only by</w:t>
      </w:r>
      <w:r>
        <w:rPr>
          <w:szCs w:val="22"/>
        </w:rPr>
        <w:t xml:space="preserve"> the </w:t>
      </w:r>
      <w:r w:rsidRPr="00B64DC7">
        <w:rPr>
          <w:szCs w:val="22"/>
        </w:rPr>
        <w:t>occurrence or non-occurrence of one or more uncertain future events not wholly within the control of the</w:t>
      </w:r>
      <w:r>
        <w:rPr>
          <w:szCs w:val="22"/>
        </w:rPr>
        <w:t xml:space="preserve"> </w:t>
      </w:r>
      <w:r>
        <w:rPr>
          <w:color w:val="000000"/>
          <w:szCs w:val="22"/>
        </w:rPr>
        <w:t>public sector</w:t>
      </w:r>
      <w:r w:rsidRPr="00B64DC7">
        <w:rPr>
          <w:szCs w:val="22"/>
        </w:rPr>
        <w:t xml:space="preserve"> entity</w:t>
      </w:r>
      <w:r w:rsidRPr="00B34608">
        <w:rPr>
          <w:color w:val="000000"/>
          <w:szCs w:val="22"/>
        </w:rPr>
        <w:t xml:space="preserve">. </w:t>
      </w:r>
      <w:r>
        <w:rPr>
          <w:color w:val="000000"/>
          <w:szCs w:val="22"/>
        </w:rPr>
        <w:t>Contingent assets are registered in the accounting by the public sector entity only when it certain that such assets will generate economic benefits to it</w:t>
      </w:r>
      <w:r w:rsidRPr="00B34608">
        <w:rPr>
          <w:color w:val="000000"/>
          <w:szCs w:val="22"/>
        </w:rPr>
        <w:t xml:space="preserve">. </w:t>
      </w:r>
    </w:p>
    <w:p w:rsidR="00D2569B" w:rsidRPr="00B34608" w:rsidRDefault="00D2569B" w:rsidP="00D97C39">
      <w:pPr>
        <w:pStyle w:val="Pagrindinistekstas"/>
        <w:spacing w:before="0" w:after="0" w:line="276" w:lineRule="auto"/>
        <w:ind w:firstLine="567"/>
        <w:rPr>
          <w:color w:val="000000"/>
          <w:szCs w:val="22"/>
        </w:rPr>
      </w:pPr>
      <w:r>
        <w:rPr>
          <w:color w:val="000000"/>
          <w:szCs w:val="22"/>
        </w:rPr>
        <w:t xml:space="preserve">Subsequently, short-term receivables are registered taking into account of value impairment and long-term receivables </w:t>
      </w:r>
      <w:r w:rsidRPr="00B34608">
        <w:rPr>
          <w:color w:val="000000"/>
          <w:szCs w:val="22"/>
        </w:rPr>
        <w:t xml:space="preserve">– </w:t>
      </w:r>
      <w:r>
        <w:rPr>
          <w:color w:val="000000"/>
          <w:szCs w:val="22"/>
        </w:rPr>
        <w:t>at discounted value, net of impairment losses</w:t>
      </w:r>
      <w:r w:rsidRPr="00B34608">
        <w:rPr>
          <w:color w:val="000000"/>
          <w:szCs w:val="22"/>
        </w:rPr>
        <w:t>.</w:t>
      </w:r>
    </w:p>
    <w:p w:rsidR="00D2569B" w:rsidRPr="00B34608" w:rsidRDefault="00D2569B" w:rsidP="00430229">
      <w:pPr>
        <w:pStyle w:val="Antrat3"/>
        <w:numPr>
          <w:ilvl w:val="1"/>
          <w:numId w:val="18"/>
        </w:numPr>
        <w:tabs>
          <w:tab w:val="left" w:pos="0"/>
        </w:tabs>
        <w:spacing w:before="240"/>
        <w:rPr>
          <w:b/>
          <w:sz w:val="24"/>
        </w:rPr>
      </w:pPr>
      <w:bookmarkStart w:id="21" w:name="_Toc441324031"/>
      <w:r>
        <w:rPr>
          <w:b/>
          <w:sz w:val="24"/>
        </w:rPr>
        <w:t>Cash and cash equivalents</w:t>
      </w:r>
      <w:bookmarkEnd w:id="21"/>
    </w:p>
    <w:p w:rsidR="00D2569B" w:rsidRPr="00B34608" w:rsidRDefault="00D2569B" w:rsidP="008E69CA">
      <w:pPr>
        <w:autoSpaceDE w:val="0"/>
        <w:autoSpaceDN w:val="0"/>
        <w:adjustRightInd w:val="0"/>
        <w:rPr>
          <w:rFonts w:ascii="Arial" w:hAnsi="Arial" w:cs="Arial"/>
          <w:sz w:val="18"/>
        </w:rPr>
      </w:pPr>
    </w:p>
    <w:p w:rsidR="00D2569B" w:rsidRPr="00B34608" w:rsidRDefault="00D2569B" w:rsidP="00AA510D">
      <w:pPr>
        <w:pStyle w:val="Pagrindinistekstas"/>
        <w:spacing w:before="0" w:after="0" w:line="276" w:lineRule="auto"/>
        <w:ind w:firstLine="567"/>
        <w:rPr>
          <w:szCs w:val="22"/>
        </w:rPr>
      </w:pPr>
      <w:r>
        <w:rPr>
          <w:color w:val="000000"/>
          <w:szCs w:val="22"/>
        </w:rPr>
        <w:t>According to</w:t>
      </w:r>
      <w:r w:rsidRPr="00B34608">
        <w:rPr>
          <w:color w:val="000000"/>
          <w:szCs w:val="22"/>
        </w:rPr>
        <w:t xml:space="preserve"> 17 </w:t>
      </w:r>
      <w:r>
        <w:rPr>
          <w:color w:val="000000"/>
          <w:szCs w:val="22"/>
        </w:rPr>
        <w:t>PSAFRS</w:t>
      </w:r>
      <w:r w:rsidRPr="00B34608">
        <w:rPr>
          <w:color w:val="000000"/>
          <w:szCs w:val="22"/>
        </w:rPr>
        <w:t xml:space="preserve"> </w:t>
      </w:r>
      <w:r>
        <w:rPr>
          <w:color w:val="000000"/>
          <w:szCs w:val="22"/>
        </w:rPr>
        <w:t>‘</w:t>
      </w:r>
      <w:r w:rsidRPr="00B34608">
        <w:rPr>
          <w:color w:val="000000"/>
          <w:szCs w:val="22"/>
        </w:rPr>
        <w:t>Finan</w:t>
      </w:r>
      <w:r>
        <w:rPr>
          <w:color w:val="000000"/>
          <w:szCs w:val="22"/>
        </w:rPr>
        <w:t>cial assets and</w:t>
      </w:r>
      <w:r w:rsidRPr="00B34608">
        <w:rPr>
          <w:color w:val="000000"/>
          <w:szCs w:val="22"/>
        </w:rPr>
        <w:t xml:space="preserve"> </w:t>
      </w:r>
      <w:r>
        <w:rPr>
          <w:color w:val="000000"/>
          <w:szCs w:val="22"/>
        </w:rPr>
        <w:t>financial</w:t>
      </w:r>
      <w:r w:rsidRPr="00B34608">
        <w:rPr>
          <w:color w:val="000000"/>
          <w:szCs w:val="22"/>
        </w:rPr>
        <w:t xml:space="preserve"> </w:t>
      </w:r>
      <w:r>
        <w:rPr>
          <w:color w:val="000000"/>
          <w:szCs w:val="22"/>
        </w:rPr>
        <w:t>liabilities’</w:t>
      </w:r>
      <w:r w:rsidRPr="00B34608">
        <w:rPr>
          <w:color w:val="000000"/>
          <w:szCs w:val="22"/>
        </w:rPr>
        <w:t xml:space="preserve"> </w:t>
      </w:r>
      <w:r>
        <w:rPr>
          <w:color w:val="000000"/>
          <w:szCs w:val="22"/>
        </w:rPr>
        <w:t>cash and cash equivalents comprise Fund’s cash held in the bank account</w:t>
      </w:r>
      <w:r w:rsidRPr="00B34608">
        <w:rPr>
          <w:szCs w:val="22"/>
        </w:rPr>
        <w:t>.</w:t>
      </w:r>
      <w:r w:rsidRPr="00B34608">
        <w:rPr>
          <w:color w:val="000000"/>
          <w:szCs w:val="22"/>
        </w:rPr>
        <w:t xml:space="preserve"> </w:t>
      </w:r>
      <w:r>
        <w:rPr>
          <w:color w:val="000000"/>
          <w:szCs w:val="22"/>
        </w:rPr>
        <w:t>Cash of the Fund</w:t>
      </w:r>
      <w:r w:rsidRPr="00B34608">
        <w:rPr>
          <w:color w:val="000000"/>
          <w:szCs w:val="22"/>
        </w:rPr>
        <w:t xml:space="preserve"> </w:t>
      </w:r>
      <w:r>
        <w:rPr>
          <w:color w:val="000000"/>
          <w:szCs w:val="22"/>
        </w:rPr>
        <w:t>is kept in a separate bank account</w:t>
      </w:r>
      <w:r w:rsidRPr="00B34608">
        <w:rPr>
          <w:color w:val="000000"/>
          <w:szCs w:val="22"/>
        </w:rPr>
        <w:t>.</w:t>
      </w:r>
      <w:r w:rsidRPr="00B34608">
        <w:rPr>
          <w:szCs w:val="22"/>
        </w:rPr>
        <w:t xml:space="preserve"> </w:t>
      </w:r>
    </w:p>
    <w:p w:rsidR="00D2569B" w:rsidRPr="00B34608" w:rsidRDefault="00D2569B" w:rsidP="001900B7">
      <w:pPr>
        <w:pStyle w:val="Pagrindinistekstas"/>
        <w:spacing w:before="0" w:after="0" w:line="276" w:lineRule="auto"/>
        <w:ind w:firstLine="567"/>
        <w:rPr>
          <w:szCs w:val="22"/>
        </w:rPr>
      </w:pPr>
      <w:r>
        <w:rPr>
          <w:color w:val="000000"/>
          <w:szCs w:val="22"/>
        </w:rPr>
        <w:t>In the cash flow statement, cash and cash equivalents comprise cash with bank</w:t>
      </w:r>
      <w:r w:rsidRPr="00B34608">
        <w:rPr>
          <w:color w:val="000000"/>
          <w:szCs w:val="22"/>
        </w:rPr>
        <w:t xml:space="preserve">, </w:t>
      </w:r>
      <w:r>
        <w:rPr>
          <w:color w:val="000000"/>
          <w:szCs w:val="22"/>
        </w:rPr>
        <w:t>other short-term highly liquid investments</w:t>
      </w:r>
      <w:r w:rsidRPr="00B34608">
        <w:rPr>
          <w:color w:val="000000"/>
          <w:szCs w:val="22"/>
        </w:rPr>
        <w:t xml:space="preserve">. </w:t>
      </w:r>
    </w:p>
    <w:p w:rsidR="00D2569B" w:rsidRPr="00B34608" w:rsidRDefault="00D2569B" w:rsidP="00F2784C">
      <w:pPr>
        <w:pStyle w:val="Antrat3"/>
        <w:numPr>
          <w:ilvl w:val="1"/>
          <w:numId w:val="18"/>
        </w:numPr>
        <w:tabs>
          <w:tab w:val="left" w:pos="0"/>
        </w:tabs>
        <w:spacing w:before="260" w:line="360" w:lineRule="auto"/>
        <w:rPr>
          <w:b/>
          <w:sz w:val="24"/>
        </w:rPr>
      </w:pPr>
      <w:r>
        <w:rPr>
          <w:b/>
          <w:sz w:val="24"/>
        </w:rPr>
        <w:t>Debt</w:t>
      </w:r>
      <w:r w:rsidRPr="00B34608">
        <w:rPr>
          <w:b/>
          <w:sz w:val="24"/>
        </w:rPr>
        <w:t xml:space="preserve"> </w:t>
      </w:r>
      <w:r>
        <w:rPr>
          <w:b/>
          <w:sz w:val="24"/>
        </w:rPr>
        <w:t>liabilities</w:t>
      </w:r>
    </w:p>
    <w:p w:rsidR="00D2569B" w:rsidRPr="00B34608" w:rsidRDefault="00D2569B" w:rsidP="0044798A">
      <w:pPr>
        <w:pStyle w:val="Pagrindinistekstas"/>
        <w:spacing w:before="0" w:after="0" w:line="276" w:lineRule="auto"/>
        <w:rPr>
          <w:color w:val="000000"/>
          <w:szCs w:val="22"/>
        </w:rPr>
      </w:pPr>
      <w:r w:rsidRPr="00B34608">
        <w:rPr>
          <w:color w:val="000000"/>
          <w:szCs w:val="22"/>
        </w:rPr>
        <w:t xml:space="preserve">      </w:t>
      </w:r>
      <w:r>
        <w:rPr>
          <w:color w:val="000000"/>
          <w:szCs w:val="22"/>
        </w:rPr>
        <w:t>According to</w:t>
      </w:r>
      <w:r w:rsidRPr="00B34608">
        <w:rPr>
          <w:color w:val="000000"/>
          <w:szCs w:val="22"/>
        </w:rPr>
        <w:t xml:space="preserve"> 17 </w:t>
      </w:r>
      <w:r>
        <w:rPr>
          <w:color w:val="000000"/>
          <w:szCs w:val="22"/>
        </w:rPr>
        <w:t>PSAFRS</w:t>
      </w:r>
      <w:r w:rsidRPr="00B34608">
        <w:rPr>
          <w:color w:val="000000"/>
          <w:szCs w:val="22"/>
        </w:rPr>
        <w:t xml:space="preserve"> </w:t>
      </w:r>
      <w:r>
        <w:rPr>
          <w:color w:val="000000"/>
          <w:szCs w:val="22"/>
        </w:rPr>
        <w:t>‘</w:t>
      </w:r>
      <w:r w:rsidRPr="00B34608">
        <w:rPr>
          <w:color w:val="000000"/>
          <w:szCs w:val="22"/>
        </w:rPr>
        <w:t>Finan</w:t>
      </w:r>
      <w:r>
        <w:rPr>
          <w:color w:val="000000"/>
          <w:szCs w:val="22"/>
        </w:rPr>
        <w:t>cial assets and</w:t>
      </w:r>
      <w:r w:rsidRPr="00B34608">
        <w:rPr>
          <w:color w:val="000000"/>
          <w:szCs w:val="22"/>
        </w:rPr>
        <w:t xml:space="preserve"> </w:t>
      </w:r>
      <w:r>
        <w:rPr>
          <w:color w:val="000000"/>
          <w:szCs w:val="22"/>
        </w:rPr>
        <w:t>financial</w:t>
      </w:r>
      <w:r w:rsidRPr="00B34608">
        <w:rPr>
          <w:color w:val="000000"/>
          <w:szCs w:val="22"/>
        </w:rPr>
        <w:t xml:space="preserve"> </w:t>
      </w:r>
      <w:r>
        <w:rPr>
          <w:color w:val="000000"/>
          <w:szCs w:val="22"/>
        </w:rPr>
        <w:t>liabilities’, on initial recognition, debts are recorded at acquisition value and subsequently – taking account of value impairment</w:t>
      </w:r>
      <w:r w:rsidRPr="00B34608">
        <w:rPr>
          <w:color w:val="000000"/>
          <w:szCs w:val="22"/>
        </w:rPr>
        <w:t xml:space="preserve">. </w:t>
      </w:r>
      <w:r>
        <w:rPr>
          <w:color w:val="000000"/>
          <w:szCs w:val="22"/>
        </w:rPr>
        <w:t>Debts are classified as long-term when the financing agreement concluded before the date of approval of financial statements demonstrates that on the balance sheet date the liability was long-term according to its nature</w:t>
      </w:r>
      <w:r w:rsidRPr="00B34608">
        <w:rPr>
          <w:color w:val="000000"/>
          <w:szCs w:val="22"/>
        </w:rPr>
        <w:t>.</w:t>
      </w:r>
    </w:p>
    <w:p w:rsidR="00D2569B" w:rsidRPr="00B34608" w:rsidRDefault="00D2569B" w:rsidP="00B2438A">
      <w:pPr>
        <w:pStyle w:val="Antrat3"/>
        <w:numPr>
          <w:ilvl w:val="1"/>
          <w:numId w:val="18"/>
        </w:numPr>
        <w:tabs>
          <w:tab w:val="left" w:pos="0"/>
        </w:tabs>
        <w:spacing w:before="240" w:line="360" w:lineRule="auto"/>
        <w:rPr>
          <w:b/>
          <w:sz w:val="24"/>
        </w:rPr>
      </w:pPr>
      <w:bookmarkStart w:id="22" w:name="_Toc441324037"/>
      <w:r>
        <w:rPr>
          <w:b/>
          <w:sz w:val="24"/>
        </w:rPr>
        <w:t>Recognition of income and expenses of the Fund</w:t>
      </w:r>
      <w:bookmarkEnd w:id="22"/>
    </w:p>
    <w:p w:rsidR="00D2569B" w:rsidRPr="00B34608" w:rsidRDefault="00D2569B" w:rsidP="0044798A">
      <w:pPr>
        <w:pStyle w:val="Antrat6"/>
        <w:spacing w:line="276" w:lineRule="auto"/>
        <w:jc w:val="both"/>
      </w:pPr>
      <w:bookmarkStart w:id="23" w:name="_Toc441324039"/>
      <w:r w:rsidRPr="00B34608">
        <w:t xml:space="preserve">      </w:t>
      </w:r>
      <w:r>
        <w:t>The Fund’s income and expenses are recorded in the accounting and presented in financial statements according to the principle of accrual of income and expenses</w:t>
      </w:r>
      <w:r w:rsidRPr="00B34608">
        <w:t>.</w:t>
      </w:r>
    </w:p>
    <w:p w:rsidR="00D2569B" w:rsidRPr="00B34608" w:rsidRDefault="00D2569B" w:rsidP="0083557E">
      <w:pPr>
        <w:pStyle w:val="Antrat6"/>
        <w:spacing w:line="276" w:lineRule="auto"/>
        <w:ind w:firstLine="567"/>
        <w:jc w:val="both"/>
      </w:pPr>
      <w:r>
        <w:rPr>
          <w:color w:val="000000"/>
          <w:szCs w:val="22"/>
        </w:rPr>
        <w:t>According to</w:t>
      </w:r>
      <w:r w:rsidRPr="00B34608">
        <w:t xml:space="preserve"> 10 </w:t>
      </w:r>
      <w:r>
        <w:t>PSAFRS</w:t>
      </w:r>
      <w:r w:rsidRPr="00B34608">
        <w:t xml:space="preserve"> </w:t>
      </w:r>
      <w:r>
        <w:rPr>
          <w:color w:val="000000"/>
          <w:szCs w:val="22"/>
        </w:rPr>
        <w:t>‘Other income’ the F</w:t>
      </w:r>
      <w:r>
        <w:t>und’s income is recognised and recorded in the accounting and presented in financial statements during the reporting period in which it is earned, regardless of the time of receiving the money</w:t>
      </w:r>
      <w:r w:rsidRPr="00B34608">
        <w:t xml:space="preserve">. </w:t>
      </w:r>
    </w:p>
    <w:p w:rsidR="00D2569B" w:rsidRPr="00B34608" w:rsidRDefault="00D2569B" w:rsidP="0044798A">
      <w:pPr>
        <w:pStyle w:val="Antrat6"/>
        <w:spacing w:line="276" w:lineRule="auto"/>
        <w:jc w:val="both"/>
      </w:pPr>
      <w:r w:rsidRPr="00B34608">
        <w:t xml:space="preserve">     </w:t>
      </w:r>
      <w:r>
        <w:t>The Fund’s income is classified into other income from operating activities, income from financing activities and income from investing activities</w:t>
      </w:r>
      <w:r w:rsidRPr="00B34608">
        <w:t xml:space="preserve">. </w:t>
      </w:r>
      <w:r>
        <w:t>Insurance contributions of the Fund’s insurers are attributed to other operating activity income.</w:t>
      </w:r>
    </w:p>
    <w:p w:rsidR="00D2569B" w:rsidRPr="00B34608" w:rsidRDefault="00D2569B" w:rsidP="0044798A">
      <w:pPr>
        <w:pStyle w:val="Antrat6"/>
        <w:spacing w:line="276" w:lineRule="auto"/>
        <w:jc w:val="both"/>
      </w:pPr>
      <w:r w:rsidRPr="00B34608">
        <w:t xml:space="preserve">      </w:t>
      </w:r>
      <w:r>
        <w:rPr>
          <w:color w:val="000000"/>
          <w:szCs w:val="22"/>
        </w:rPr>
        <w:t>According to</w:t>
      </w:r>
      <w:r w:rsidRPr="00B34608">
        <w:rPr>
          <w:color w:val="000000"/>
          <w:szCs w:val="22"/>
        </w:rPr>
        <w:t xml:space="preserve"> 1</w:t>
      </w:r>
      <w:r>
        <w:rPr>
          <w:color w:val="000000"/>
          <w:szCs w:val="22"/>
        </w:rPr>
        <w:t>1</w:t>
      </w:r>
      <w:r w:rsidRPr="00B34608">
        <w:rPr>
          <w:color w:val="000000"/>
          <w:szCs w:val="22"/>
        </w:rPr>
        <w:t xml:space="preserve"> </w:t>
      </w:r>
      <w:r>
        <w:rPr>
          <w:color w:val="000000"/>
          <w:szCs w:val="22"/>
        </w:rPr>
        <w:t>PSAFRS</w:t>
      </w:r>
      <w:r w:rsidRPr="00B34608">
        <w:rPr>
          <w:color w:val="000000"/>
          <w:szCs w:val="22"/>
        </w:rPr>
        <w:t xml:space="preserve"> </w:t>
      </w:r>
      <w:r>
        <w:rPr>
          <w:color w:val="000000"/>
          <w:szCs w:val="22"/>
        </w:rPr>
        <w:t>‘Expenses’ expenses are recognised and recorded in the accounting during the period in which they are incurred</w:t>
      </w:r>
      <w:r w:rsidRPr="00B34608">
        <w:t xml:space="preserve"> – </w:t>
      </w:r>
      <w:r>
        <w:t>when related income is earned, services are provided</w:t>
      </w:r>
      <w:r w:rsidRPr="00B34608">
        <w:t xml:space="preserve">, </w:t>
      </w:r>
      <w:r>
        <w:t>actions are carried out in performing the assigned functions</w:t>
      </w:r>
      <w:r w:rsidRPr="00B34608">
        <w:t xml:space="preserve">, </w:t>
      </w:r>
      <w:r>
        <w:t>regardless of the time of spending the money and when their value can be reliably estimated</w:t>
      </w:r>
      <w:r w:rsidRPr="00B34608">
        <w:t xml:space="preserve">. </w:t>
      </w:r>
    </w:p>
    <w:p w:rsidR="00D2569B" w:rsidRPr="00B34608" w:rsidRDefault="00D2569B" w:rsidP="0044798A">
      <w:pPr>
        <w:pStyle w:val="Antrat6"/>
        <w:spacing w:line="276" w:lineRule="auto"/>
        <w:jc w:val="both"/>
      </w:pPr>
      <w:r w:rsidRPr="00B34608">
        <w:t xml:space="preserve">     </w:t>
      </w:r>
      <w:r w:rsidRPr="000E79F7">
        <w:rPr>
          <w:szCs w:val="22"/>
        </w:rPr>
        <w:t xml:space="preserve">Normally, the amount of expenses is measured at the consideration </w:t>
      </w:r>
      <w:r w:rsidRPr="000E79F7">
        <w:rPr>
          <w:rStyle w:val="highlightselected"/>
          <w:szCs w:val="22"/>
        </w:rPr>
        <w:t>paid or</w:t>
      </w:r>
      <w:r w:rsidRPr="000E79F7">
        <w:rPr>
          <w:szCs w:val="22"/>
        </w:rPr>
        <w:t xml:space="preserve"> payable, including value added tax. </w:t>
      </w:r>
      <w:r>
        <w:rPr>
          <w:szCs w:val="22"/>
        </w:rPr>
        <w:t xml:space="preserve">The </w:t>
      </w:r>
      <w:r w:rsidRPr="000E79F7">
        <w:rPr>
          <w:szCs w:val="22"/>
        </w:rPr>
        <w:t>Fund</w:t>
      </w:r>
      <w:r>
        <w:rPr>
          <w:szCs w:val="22"/>
        </w:rPr>
        <w:t>’s expenses are attributed to other costs of services of the operating activities</w:t>
      </w:r>
      <w:r w:rsidRPr="00B34608">
        <w:t xml:space="preserve">. </w:t>
      </w:r>
      <w:r>
        <w:t>Expenses of the Fund</w:t>
      </w:r>
      <w:r w:rsidRPr="00B34608">
        <w:t xml:space="preserve"> </w:t>
      </w:r>
      <w:r>
        <w:t>include</w:t>
      </w:r>
      <w:r w:rsidRPr="00B34608">
        <w:t xml:space="preserve"> </w:t>
      </w:r>
      <w:r>
        <w:t>insurance compensations</w:t>
      </w:r>
      <w:r w:rsidRPr="00B34608">
        <w:t>, administra</w:t>
      </w:r>
      <w:r>
        <w:t>tive expenses</w:t>
      </w:r>
      <w:r w:rsidRPr="00B34608">
        <w:t xml:space="preserve">, </w:t>
      </w:r>
      <w:r>
        <w:t>financing and investing activity expenses, etc.</w:t>
      </w:r>
    </w:p>
    <w:p w:rsidR="00D2569B" w:rsidRPr="00B34608" w:rsidRDefault="00D2569B" w:rsidP="0044798A">
      <w:pPr>
        <w:pStyle w:val="Antrat6"/>
        <w:spacing w:line="276" w:lineRule="auto"/>
        <w:jc w:val="both"/>
      </w:pPr>
      <w:r w:rsidRPr="00B34608">
        <w:t xml:space="preserve">      </w:t>
      </w:r>
      <w:r>
        <w:rPr>
          <w:szCs w:val="22"/>
        </w:rPr>
        <w:t>T</w:t>
      </w:r>
      <w:r w:rsidRPr="000E79F7">
        <w:rPr>
          <w:szCs w:val="22"/>
        </w:rPr>
        <w:t xml:space="preserve">he amount of expenses is measured at the consideration </w:t>
      </w:r>
      <w:r w:rsidRPr="000E79F7">
        <w:rPr>
          <w:rStyle w:val="highlightselected"/>
          <w:szCs w:val="22"/>
        </w:rPr>
        <w:t>paid or</w:t>
      </w:r>
      <w:r w:rsidRPr="000E79F7">
        <w:rPr>
          <w:szCs w:val="22"/>
        </w:rPr>
        <w:t xml:space="preserve"> payable, including value added tax. </w:t>
      </w:r>
      <w:r>
        <w:rPr>
          <w:szCs w:val="22"/>
        </w:rPr>
        <w:t xml:space="preserve">The </w:t>
      </w:r>
      <w:r w:rsidRPr="000E79F7">
        <w:rPr>
          <w:szCs w:val="22"/>
        </w:rPr>
        <w:t>Fund</w:t>
      </w:r>
      <w:r>
        <w:rPr>
          <w:szCs w:val="22"/>
        </w:rPr>
        <w:t>’s expenses are attributed to other costs of services of the operating activities</w:t>
      </w:r>
      <w:r w:rsidRPr="00B34608">
        <w:t>.</w:t>
      </w:r>
    </w:p>
    <w:p w:rsidR="00D2569B" w:rsidRPr="00B34608" w:rsidRDefault="00D2569B" w:rsidP="0044798A">
      <w:pPr>
        <w:pStyle w:val="Antrat6"/>
        <w:spacing w:line="276" w:lineRule="auto"/>
        <w:jc w:val="both"/>
        <w:rPr>
          <w:szCs w:val="22"/>
        </w:rPr>
      </w:pPr>
      <w:r w:rsidRPr="00B34608">
        <w:t xml:space="preserve">       </w:t>
      </w:r>
      <w:r>
        <w:t>The estimate of income and expenses of the Fund</w:t>
      </w:r>
      <w:r w:rsidRPr="00B34608">
        <w:rPr>
          <w:szCs w:val="22"/>
        </w:rPr>
        <w:t xml:space="preserve"> </w:t>
      </w:r>
      <w:r>
        <w:rPr>
          <w:szCs w:val="22"/>
        </w:rPr>
        <w:t>is approved by the institution implementing rights and obligations of the owner of the</w:t>
      </w:r>
      <w:r w:rsidRPr="00B34608">
        <w:rPr>
          <w:szCs w:val="22"/>
        </w:rPr>
        <w:t xml:space="preserve"> </w:t>
      </w:r>
      <w:r>
        <w:rPr>
          <w:szCs w:val="22"/>
        </w:rPr>
        <w:t>Company</w:t>
      </w:r>
      <w:r w:rsidRPr="00B34608">
        <w:rPr>
          <w:szCs w:val="22"/>
        </w:rPr>
        <w:t xml:space="preserve"> – </w:t>
      </w:r>
      <w:r>
        <w:rPr>
          <w:szCs w:val="22"/>
        </w:rPr>
        <w:t>the Ministry of Finance of the Republic of Lithuania</w:t>
      </w:r>
      <w:r w:rsidRPr="00B34608">
        <w:rPr>
          <w:szCs w:val="22"/>
        </w:rPr>
        <w:t xml:space="preserve">. </w:t>
      </w:r>
      <w:r>
        <w:rPr>
          <w:szCs w:val="22"/>
        </w:rPr>
        <w:t xml:space="preserve">The estimate of </w:t>
      </w:r>
      <w:r w:rsidRPr="00B34608">
        <w:t>administra</w:t>
      </w:r>
      <w:r>
        <w:t>tive expenses</w:t>
      </w:r>
      <w:r>
        <w:rPr>
          <w:szCs w:val="22"/>
        </w:rPr>
        <w:t xml:space="preserve"> is approved by the Council of the Company</w:t>
      </w:r>
      <w:r w:rsidRPr="00B34608">
        <w:rPr>
          <w:szCs w:val="22"/>
        </w:rPr>
        <w:t>.</w:t>
      </w:r>
    </w:p>
    <w:p w:rsidR="00D2569B" w:rsidRPr="00B34608" w:rsidRDefault="00D2569B" w:rsidP="00530B6D">
      <w:pPr>
        <w:pStyle w:val="Antrat3"/>
        <w:numPr>
          <w:ilvl w:val="1"/>
          <w:numId w:val="18"/>
        </w:numPr>
        <w:tabs>
          <w:tab w:val="left" w:pos="0"/>
        </w:tabs>
        <w:rPr>
          <w:b/>
          <w:sz w:val="24"/>
        </w:rPr>
      </w:pPr>
      <w:r>
        <w:rPr>
          <w:b/>
          <w:sz w:val="24"/>
        </w:rPr>
        <w:lastRenderedPageBreak/>
        <w:t>Foreign currency</w:t>
      </w:r>
      <w:bookmarkEnd w:id="23"/>
    </w:p>
    <w:p w:rsidR="00D2569B" w:rsidRPr="00B34608" w:rsidRDefault="00D2569B" w:rsidP="0085697C">
      <w:pPr>
        <w:pStyle w:val="Pagrindinistekstas"/>
        <w:spacing w:line="276" w:lineRule="auto"/>
        <w:ind w:firstLine="567"/>
      </w:pPr>
      <w:bookmarkStart w:id="24" w:name="_Toc441324040"/>
      <w:r>
        <w:t>Requirements for the accounting of foreign currency transactions are established in</w:t>
      </w:r>
      <w:r w:rsidRPr="00B34608">
        <w:t xml:space="preserve"> 21 </w:t>
      </w:r>
      <w:r>
        <w:t>PSAFRS</w:t>
      </w:r>
      <w:r w:rsidRPr="00B34608">
        <w:t xml:space="preserve"> </w:t>
      </w:r>
      <w:r>
        <w:t>‘Foreign currency transactions’</w:t>
      </w:r>
      <w:r w:rsidRPr="00B34608">
        <w:t xml:space="preserve">. </w:t>
      </w:r>
      <w:r>
        <w:t>On initial recognition, foreign currency transactions are recorded in the accounting at the official exchange rate of the transaction day</w:t>
      </w:r>
      <w:r w:rsidRPr="00B34608">
        <w:t xml:space="preserve">. </w:t>
      </w:r>
    </w:p>
    <w:p w:rsidR="00D2569B" w:rsidRPr="00B34608" w:rsidRDefault="00D2569B" w:rsidP="00530B6D">
      <w:pPr>
        <w:pStyle w:val="Antrat3"/>
        <w:numPr>
          <w:ilvl w:val="1"/>
          <w:numId w:val="18"/>
        </w:numPr>
        <w:tabs>
          <w:tab w:val="left" w:pos="0"/>
        </w:tabs>
        <w:spacing w:before="240"/>
        <w:rPr>
          <w:b/>
          <w:sz w:val="24"/>
        </w:rPr>
      </w:pPr>
      <w:r>
        <w:rPr>
          <w:b/>
          <w:sz w:val="24"/>
        </w:rPr>
        <w:t>Accounting of the closing of period</w:t>
      </w:r>
      <w:bookmarkEnd w:id="24"/>
    </w:p>
    <w:p w:rsidR="00D2569B" w:rsidRDefault="00D2569B" w:rsidP="00965197">
      <w:pPr>
        <w:tabs>
          <w:tab w:val="left" w:pos="0"/>
          <w:tab w:val="left" w:pos="540"/>
          <w:tab w:val="left" w:pos="1260"/>
          <w:tab w:val="left" w:pos="1440"/>
        </w:tabs>
        <w:spacing w:line="276" w:lineRule="auto"/>
        <w:contextualSpacing/>
        <w:jc w:val="both"/>
        <w:rPr>
          <w:sz w:val="18"/>
          <w:szCs w:val="16"/>
        </w:rPr>
      </w:pPr>
    </w:p>
    <w:p w:rsidR="00D2569B" w:rsidRPr="00B34608" w:rsidRDefault="00D2569B" w:rsidP="00965197">
      <w:pPr>
        <w:tabs>
          <w:tab w:val="left" w:pos="0"/>
          <w:tab w:val="left" w:pos="540"/>
          <w:tab w:val="left" w:pos="1260"/>
          <w:tab w:val="left" w:pos="1440"/>
        </w:tabs>
        <w:spacing w:line="276" w:lineRule="auto"/>
        <w:contextualSpacing/>
        <w:jc w:val="both"/>
      </w:pPr>
      <w:r>
        <w:rPr>
          <w:sz w:val="18"/>
          <w:szCs w:val="16"/>
        </w:rPr>
        <w:tab/>
      </w:r>
      <w:r>
        <w:t>When all operations of the financial year are recorded</w:t>
      </w:r>
      <w:r w:rsidRPr="00B34608">
        <w:t xml:space="preserve">, </w:t>
      </w:r>
      <w:r>
        <w:t>all accounts of income and expenses are closed</w:t>
      </w:r>
      <w:r w:rsidRPr="00B34608">
        <w:t xml:space="preserve">. </w:t>
      </w:r>
      <w:r>
        <w:t>The balances of the last day of the financial year of all accounts of income and expenses are transferred to the account ‘Accumulated surplus or deficit’ on</w:t>
      </w:r>
      <w:r w:rsidRPr="00B34608">
        <w:t xml:space="preserve"> </w:t>
      </w:r>
      <w:r>
        <w:t>the last day of the financial year</w:t>
      </w:r>
      <w:r w:rsidRPr="00B34608">
        <w:t xml:space="preserve">. </w:t>
      </w:r>
      <w:r>
        <w:t>The current year’s surplus or deficit</w:t>
      </w:r>
      <w:r w:rsidRPr="00B34608">
        <w:t xml:space="preserve"> – </w:t>
      </w:r>
      <w:r>
        <w:t>the surplus generated or the deficit incurred by the Fund in the current year</w:t>
      </w:r>
      <w:r w:rsidRPr="00B34608">
        <w:t xml:space="preserve">. </w:t>
      </w:r>
      <w:r>
        <w:t>At the beginning of the financial year, the previous year’s surplus or deficit</w:t>
      </w:r>
      <w:r w:rsidRPr="00B34608">
        <w:t xml:space="preserve"> </w:t>
      </w:r>
      <w:r>
        <w:t>is recognised as the accumulated surplus or deficit</w:t>
      </w:r>
      <w:r w:rsidRPr="00B34608">
        <w:t xml:space="preserve"> </w:t>
      </w:r>
      <w:r>
        <w:t>of the previous year</w:t>
      </w:r>
      <w:r w:rsidRPr="00B34608">
        <w:t>.</w:t>
      </w:r>
    </w:p>
    <w:p w:rsidR="00D2569B" w:rsidRPr="00B34608" w:rsidRDefault="00D2569B" w:rsidP="003B0A74">
      <w:pPr>
        <w:tabs>
          <w:tab w:val="left" w:pos="0"/>
          <w:tab w:val="left" w:pos="540"/>
          <w:tab w:val="left" w:pos="1260"/>
          <w:tab w:val="left" w:pos="1440"/>
        </w:tabs>
        <w:contextualSpacing/>
        <w:jc w:val="both"/>
      </w:pPr>
    </w:p>
    <w:p w:rsidR="00D2569B" w:rsidRPr="00B34608" w:rsidRDefault="00D2569B" w:rsidP="00106968">
      <w:pPr>
        <w:pStyle w:val="Antrat3"/>
        <w:numPr>
          <w:ilvl w:val="1"/>
          <w:numId w:val="18"/>
        </w:numPr>
        <w:tabs>
          <w:tab w:val="left" w:pos="0"/>
        </w:tabs>
        <w:spacing w:before="0"/>
        <w:rPr>
          <w:b/>
          <w:sz w:val="24"/>
        </w:rPr>
      </w:pPr>
      <w:bookmarkStart w:id="25" w:name="_Toc441324041"/>
      <w:r>
        <w:rPr>
          <w:b/>
          <w:sz w:val="24"/>
        </w:rPr>
        <w:t>Use of estimates in preparing financial statements</w:t>
      </w:r>
      <w:bookmarkEnd w:id="25"/>
    </w:p>
    <w:p w:rsidR="00D2569B" w:rsidRPr="00B34608" w:rsidRDefault="00D2569B" w:rsidP="0044798A">
      <w:pPr>
        <w:pStyle w:val="Pagrindinistekstas"/>
        <w:spacing w:line="276" w:lineRule="auto"/>
      </w:pPr>
      <w:bookmarkStart w:id="26" w:name="_Toc441324047"/>
      <w:r w:rsidRPr="00B34608">
        <w:t xml:space="preserve">          </w:t>
      </w:r>
      <w:r>
        <w:rPr>
          <w:color w:val="000000"/>
          <w:szCs w:val="22"/>
        </w:rPr>
        <w:t>According to</w:t>
      </w:r>
      <w:r w:rsidRPr="00B34608">
        <w:rPr>
          <w:color w:val="000000"/>
          <w:szCs w:val="22"/>
        </w:rPr>
        <w:t xml:space="preserve"> 18 </w:t>
      </w:r>
      <w:r>
        <w:rPr>
          <w:color w:val="000000"/>
          <w:szCs w:val="22"/>
        </w:rPr>
        <w:t>PSAFRS</w:t>
      </w:r>
      <w:r w:rsidRPr="00B34608">
        <w:rPr>
          <w:color w:val="000000"/>
          <w:szCs w:val="22"/>
        </w:rPr>
        <w:t xml:space="preserve"> </w:t>
      </w:r>
      <w:r>
        <w:rPr>
          <w:color w:val="000000"/>
          <w:szCs w:val="22"/>
        </w:rPr>
        <w:t>‘Provisions</w:t>
      </w:r>
      <w:r w:rsidRPr="00B34608">
        <w:rPr>
          <w:color w:val="000000"/>
          <w:szCs w:val="22"/>
        </w:rPr>
        <w:t xml:space="preserve">, </w:t>
      </w:r>
      <w:r>
        <w:rPr>
          <w:color w:val="000000"/>
          <w:szCs w:val="22"/>
        </w:rPr>
        <w:t>contingent</w:t>
      </w:r>
      <w:r w:rsidRPr="00B34608">
        <w:rPr>
          <w:color w:val="000000"/>
          <w:szCs w:val="22"/>
        </w:rPr>
        <w:t xml:space="preserve"> </w:t>
      </w:r>
      <w:r>
        <w:rPr>
          <w:color w:val="000000"/>
          <w:szCs w:val="22"/>
        </w:rPr>
        <w:t>liabilities</w:t>
      </w:r>
      <w:r w:rsidRPr="00B34608">
        <w:rPr>
          <w:color w:val="000000"/>
          <w:szCs w:val="22"/>
        </w:rPr>
        <w:t xml:space="preserve">, </w:t>
      </w:r>
      <w:r>
        <w:rPr>
          <w:color w:val="000000"/>
          <w:szCs w:val="22"/>
        </w:rPr>
        <w:t>contingent assets and</w:t>
      </w:r>
      <w:r w:rsidRPr="00B34608">
        <w:rPr>
          <w:color w:val="000000"/>
          <w:szCs w:val="22"/>
        </w:rPr>
        <w:t xml:space="preserve"> </w:t>
      </w:r>
      <w:r>
        <w:rPr>
          <w:color w:val="000000"/>
          <w:szCs w:val="22"/>
        </w:rPr>
        <w:t>events after the balance sheet date’</w:t>
      </w:r>
      <w:r w:rsidRPr="00B34608">
        <w:rPr>
          <w:color w:val="000000"/>
          <w:szCs w:val="22"/>
        </w:rPr>
        <w:t xml:space="preserve"> </w:t>
      </w:r>
      <w:r>
        <w:rPr>
          <w:color w:val="000000"/>
          <w:szCs w:val="22"/>
        </w:rPr>
        <w:t>and in preparing</w:t>
      </w:r>
      <w:r w:rsidRPr="00B34608">
        <w:t xml:space="preserve"> finan</w:t>
      </w:r>
      <w:r>
        <w:t>cial statements certain assumptions and estimates are revised which influence the presented amounts of assets</w:t>
      </w:r>
      <w:r w:rsidRPr="00B34608">
        <w:t xml:space="preserve">, </w:t>
      </w:r>
      <w:r>
        <w:t>liabilities, income and expenses and the disclosure of contingencies when the circumstances on the basis of which the estimate was made change or when additional information becomes available or other events occur</w:t>
      </w:r>
      <w:r w:rsidRPr="00B34608">
        <w:t xml:space="preserve">. </w:t>
      </w:r>
      <w:r>
        <w:t>The result of change in such estimates is recorded in financial statements when it is established</w:t>
      </w:r>
      <w:r w:rsidRPr="00B34608">
        <w:t xml:space="preserve">, </w:t>
      </w:r>
      <w:r>
        <w:t>presenting the information in the explanatory notes</w:t>
      </w:r>
      <w:r w:rsidRPr="00B34608">
        <w:t xml:space="preserve">. </w:t>
      </w:r>
    </w:p>
    <w:p w:rsidR="00D2569B" w:rsidRPr="00361BD3" w:rsidRDefault="00D2569B" w:rsidP="00896307">
      <w:pPr>
        <w:pStyle w:val="Antrat2"/>
        <w:numPr>
          <w:ilvl w:val="0"/>
          <w:numId w:val="18"/>
        </w:numPr>
        <w:ind w:left="426" w:hanging="426"/>
        <w:rPr>
          <w:sz w:val="24"/>
          <w:szCs w:val="24"/>
        </w:rPr>
      </w:pPr>
      <w:r>
        <w:rPr>
          <w:sz w:val="24"/>
          <w:szCs w:val="24"/>
        </w:rPr>
        <w:t>Explanatory notes</w:t>
      </w:r>
      <w:bookmarkEnd w:id="26"/>
    </w:p>
    <w:p w:rsidR="00D2569B" w:rsidRPr="00B34608" w:rsidRDefault="00D2569B" w:rsidP="00FF5F91">
      <w:pPr>
        <w:pStyle w:val="Pagrindinistekstas"/>
        <w:rPr>
          <w:b/>
          <w:sz w:val="24"/>
          <w:szCs w:val="24"/>
        </w:rPr>
      </w:pPr>
      <w:r>
        <w:rPr>
          <w:b/>
          <w:sz w:val="24"/>
          <w:szCs w:val="24"/>
        </w:rPr>
        <w:t xml:space="preserve">Note </w:t>
      </w:r>
      <w:r w:rsidRPr="00B34608">
        <w:rPr>
          <w:b/>
          <w:sz w:val="24"/>
          <w:szCs w:val="24"/>
        </w:rPr>
        <w:t>1</w:t>
      </w:r>
      <w:r>
        <w:rPr>
          <w:b/>
          <w:sz w:val="24"/>
          <w:szCs w:val="24"/>
        </w:rPr>
        <w:t>.</w:t>
      </w:r>
      <w:r w:rsidRPr="00B34608">
        <w:rPr>
          <w:b/>
          <w:sz w:val="24"/>
          <w:szCs w:val="24"/>
        </w:rPr>
        <w:t xml:space="preserve"> </w:t>
      </w:r>
      <w:r>
        <w:rPr>
          <w:b/>
          <w:sz w:val="24"/>
          <w:szCs w:val="24"/>
        </w:rPr>
        <w:t xml:space="preserve">Share of the credit claim receivable after one year and within one year </w:t>
      </w:r>
    </w:p>
    <w:p w:rsidR="00D2569B" w:rsidRPr="00B34608" w:rsidRDefault="00D2569B" w:rsidP="00E02A60">
      <w:pPr>
        <w:ind w:right="-1"/>
        <w:jc w:val="both"/>
        <w:rPr>
          <w:szCs w:val="22"/>
        </w:rPr>
      </w:pPr>
      <w:r w:rsidRPr="00B34608">
        <w:rPr>
          <w:szCs w:val="22"/>
        </w:rPr>
        <w:t xml:space="preserve">         </w:t>
      </w:r>
      <w:r>
        <w:rPr>
          <w:szCs w:val="22"/>
        </w:rPr>
        <w:t>The Company</w:t>
      </w:r>
      <w:r w:rsidRPr="00B34608">
        <w:rPr>
          <w:szCs w:val="22"/>
        </w:rPr>
        <w:t xml:space="preserve">, </w:t>
      </w:r>
      <w:r>
        <w:rPr>
          <w:szCs w:val="22"/>
        </w:rPr>
        <w:t>acting on behalf of the Fund</w:t>
      </w:r>
      <w:r w:rsidRPr="00B34608">
        <w:rPr>
          <w:szCs w:val="22"/>
        </w:rPr>
        <w:t>,</w:t>
      </w:r>
      <w:r>
        <w:rPr>
          <w:szCs w:val="22"/>
        </w:rPr>
        <w:t xml:space="preserve"> participates in bankruptcy proceedings of ten credit institutions and, in the nearest future, upon approval of the Fund’s credit claims</w:t>
      </w:r>
      <w:r w:rsidRPr="00B34608">
        <w:rPr>
          <w:szCs w:val="22"/>
        </w:rPr>
        <w:t xml:space="preserve">, </w:t>
      </w:r>
      <w:r>
        <w:rPr>
          <w:szCs w:val="22"/>
        </w:rPr>
        <w:t xml:space="preserve">the Fund will participate in bankruptcy proceedings of another three credit institutions the completion of which is preliminarily expected until </w:t>
      </w:r>
      <w:r w:rsidRPr="00B34608">
        <w:rPr>
          <w:szCs w:val="22"/>
        </w:rPr>
        <w:t>2021:</w:t>
      </w:r>
    </w:p>
    <w:p w:rsidR="00D2569B" w:rsidRPr="00B34608" w:rsidRDefault="00D2569B" w:rsidP="00896307">
      <w:pPr>
        <w:pStyle w:val="Sraopastraipa"/>
        <w:numPr>
          <w:ilvl w:val="1"/>
          <w:numId w:val="19"/>
        </w:numPr>
        <w:ind w:left="0" w:right="-1" w:firstLine="567"/>
        <w:jc w:val="both"/>
        <w:rPr>
          <w:szCs w:val="22"/>
        </w:rPr>
      </w:pPr>
      <w:r w:rsidRPr="00B34608">
        <w:rPr>
          <w:szCs w:val="22"/>
          <w:u w:val="single"/>
        </w:rPr>
        <w:t xml:space="preserve">  </w:t>
      </w:r>
      <w:r>
        <w:rPr>
          <w:szCs w:val="22"/>
          <w:u w:val="single"/>
        </w:rPr>
        <w:t xml:space="preserve">Bankruptcy of </w:t>
      </w:r>
      <w:r w:rsidRPr="00B34608">
        <w:rPr>
          <w:szCs w:val="22"/>
          <w:u w:val="single"/>
        </w:rPr>
        <w:t xml:space="preserve">BAB </w:t>
      </w:r>
      <w:proofErr w:type="spellStart"/>
      <w:r w:rsidRPr="00B34608">
        <w:rPr>
          <w:szCs w:val="22"/>
          <w:u w:val="single"/>
        </w:rPr>
        <w:t>bank</w:t>
      </w:r>
      <w:r>
        <w:rPr>
          <w:szCs w:val="22"/>
          <w:u w:val="single"/>
        </w:rPr>
        <w:t>as</w:t>
      </w:r>
      <w:proofErr w:type="spellEnd"/>
      <w:r w:rsidRPr="00B34608">
        <w:rPr>
          <w:szCs w:val="22"/>
          <w:u w:val="single"/>
        </w:rPr>
        <w:t xml:space="preserve"> SNORAS</w:t>
      </w:r>
      <w:r>
        <w:rPr>
          <w:szCs w:val="22"/>
          <w:u w:val="single"/>
        </w:rPr>
        <w:t xml:space="preserve">. </w:t>
      </w:r>
      <w:r w:rsidRPr="00587CA1">
        <w:rPr>
          <w:szCs w:val="22"/>
        </w:rPr>
        <w:t>T</w:t>
      </w:r>
      <w:r>
        <w:rPr>
          <w:szCs w:val="22"/>
        </w:rPr>
        <w:t xml:space="preserve">he insured event was declared on 24 November </w:t>
      </w:r>
      <w:r w:rsidRPr="00B34608">
        <w:rPr>
          <w:szCs w:val="22"/>
        </w:rPr>
        <w:t xml:space="preserve">2011. </w:t>
      </w:r>
      <w:r>
        <w:rPr>
          <w:szCs w:val="22"/>
        </w:rPr>
        <w:t>The disbursement of insurance compensations started on 14 December</w:t>
      </w:r>
      <w:r w:rsidRPr="00B34608">
        <w:rPr>
          <w:szCs w:val="22"/>
        </w:rPr>
        <w:t xml:space="preserve"> 2011</w:t>
      </w:r>
      <w:r>
        <w:rPr>
          <w:szCs w:val="22"/>
        </w:rPr>
        <w:t>, i.e. after</w:t>
      </w:r>
      <w:r w:rsidRPr="00B34608">
        <w:rPr>
          <w:szCs w:val="22"/>
        </w:rPr>
        <w:t xml:space="preserve"> 15 </w:t>
      </w:r>
      <w:r>
        <w:rPr>
          <w:szCs w:val="22"/>
        </w:rPr>
        <w:t>business days following the date of the insured event</w:t>
      </w:r>
      <w:r w:rsidRPr="00B34608">
        <w:rPr>
          <w:szCs w:val="22"/>
        </w:rPr>
        <w:t xml:space="preserve">. </w:t>
      </w:r>
      <w:r>
        <w:rPr>
          <w:szCs w:val="22"/>
        </w:rPr>
        <w:t xml:space="preserve">Insurance compensations in the amount of EUR </w:t>
      </w:r>
      <w:r w:rsidRPr="00B34608">
        <w:rPr>
          <w:szCs w:val="22"/>
        </w:rPr>
        <w:t>1</w:t>
      </w:r>
      <w:r>
        <w:rPr>
          <w:szCs w:val="22"/>
        </w:rPr>
        <w:t>.</w:t>
      </w:r>
      <w:r w:rsidRPr="00B34608">
        <w:rPr>
          <w:szCs w:val="22"/>
        </w:rPr>
        <w:t xml:space="preserve">20 </w:t>
      </w:r>
      <w:r>
        <w:rPr>
          <w:szCs w:val="22"/>
        </w:rPr>
        <w:t>billion were disbursed to the depositors of this insurer</w:t>
      </w:r>
      <w:r w:rsidRPr="00B34608">
        <w:rPr>
          <w:szCs w:val="22"/>
        </w:rPr>
        <w:t xml:space="preserve">. </w:t>
      </w:r>
      <w:r>
        <w:rPr>
          <w:szCs w:val="22"/>
        </w:rPr>
        <w:t>By 31 December</w:t>
      </w:r>
      <w:r w:rsidRPr="00B34608">
        <w:rPr>
          <w:szCs w:val="22"/>
        </w:rPr>
        <w:t xml:space="preserve"> 2017</w:t>
      </w:r>
      <w:r>
        <w:rPr>
          <w:szCs w:val="22"/>
        </w:rPr>
        <w:t>, the</w:t>
      </w:r>
      <w:r w:rsidRPr="00B34608">
        <w:rPr>
          <w:szCs w:val="22"/>
        </w:rPr>
        <w:t xml:space="preserve"> </w:t>
      </w:r>
      <w:r>
        <w:rPr>
          <w:szCs w:val="22"/>
        </w:rPr>
        <w:t>Company succeeded in recovering EUR 827.</w:t>
      </w:r>
      <w:r w:rsidRPr="00B34608">
        <w:rPr>
          <w:szCs w:val="22"/>
        </w:rPr>
        <w:t>87 m</w:t>
      </w:r>
      <w:r>
        <w:rPr>
          <w:szCs w:val="22"/>
        </w:rPr>
        <w:t>illion from these bankruptcy proceedings</w:t>
      </w:r>
      <w:r w:rsidRPr="00B34608">
        <w:rPr>
          <w:szCs w:val="22"/>
        </w:rPr>
        <w:t xml:space="preserve">.  </w:t>
      </w:r>
    </w:p>
    <w:p w:rsidR="00D2569B" w:rsidRPr="00B34608" w:rsidRDefault="00D2569B" w:rsidP="00896307">
      <w:pPr>
        <w:pStyle w:val="Sraopastraipa"/>
        <w:numPr>
          <w:ilvl w:val="1"/>
          <w:numId w:val="19"/>
        </w:numPr>
        <w:ind w:left="0" w:right="-1" w:firstLine="567"/>
        <w:jc w:val="both"/>
        <w:rPr>
          <w:szCs w:val="22"/>
        </w:rPr>
      </w:pPr>
      <w:r w:rsidRPr="00B34608">
        <w:rPr>
          <w:szCs w:val="22"/>
          <w:u w:val="single"/>
        </w:rPr>
        <w:t xml:space="preserve">  </w:t>
      </w:r>
      <w:r>
        <w:rPr>
          <w:szCs w:val="22"/>
          <w:u w:val="single"/>
        </w:rPr>
        <w:t xml:space="preserve">Bankruptcy of </w:t>
      </w:r>
      <w:r w:rsidRPr="00B34608">
        <w:rPr>
          <w:szCs w:val="22"/>
          <w:u w:val="single"/>
        </w:rPr>
        <w:t xml:space="preserve">BAB </w:t>
      </w:r>
      <w:proofErr w:type="spellStart"/>
      <w:r w:rsidRPr="00B34608">
        <w:rPr>
          <w:szCs w:val="22"/>
          <w:u w:val="single"/>
        </w:rPr>
        <w:t>Ūkio</w:t>
      </w:r>
      <w:proofErr w:type="spellEnd"/>
      <w:r w:rsidRPr="00B34608">
        <w:rPr>
          <w:szCs w:val="22"/>
          <w:u w:val="single"/>
        </w:rPr>
        <w:t xml:space="preserve"> </w:t>
      </w:r>
      <w:proofErr w:type="spellStart"/>
      <w:r w:rsidRPr="00B34608">
        <w:rPr>
          <w:szCs w:val="22"/>
          <w:u w:val="single"/>
        </w:rPr>
        <w:t>bankas</w:t>
      </w:r>
      <w:proofErr w:type="spellEnd"/>
      <w:r w:rsidRPr="00B34608">
        <w:rPr>
          <w:szCs w:val="22"/>
          <w:u w:val="single"/>
        </w:rPr>
        <w:t>.</w:t>
      </w:r>
      <w:r w:rsidRPr="00B34608">
        <w:rPr>
          <w:szCs w:val="22"/>
        </w:rPr>
        <w:t xml:space="preserve"> </w:t>
      </w:r>
      <w:r w:rsidRPr="00587CA1">
        <w:rPr>
          <w:szCs w:val="22"/>
        </w:rPr>
        <w:t>T</w:t>
      </w:r>
      <w:r>
        <w:rPr>
          <w:szCs w:val="22"/>
        </w:rPr>
        <w:t xml:space="preserve">he insured event was declared on 18 February </w:t>
      </w:r>
      <w:r w:rsidRPr="00B34608">
        <w:rPr>
          <w:szCs w:val="22"/>
        </w:rPr>
        <w:t xml:space="preserve">2013. </w:t>
      </w:r>
      <w:r>
        <w:rPr>
          <w:szCs w:val="22"/>
        </w:rPr>
        <w:t>The Company</w:t>
      </w:r>
      <w:r w:rsidRPr="00B34608">
        <w:rPr>
          <w:szCs w:val="22"/>
        </w:rPr>
        <w:t xml:space="preserve"> </w:t>
      </w:r>
      <w:r>
        <w:rPr>
          <w:szCs w:val="22"/>
        </w:rPr>
        <w:t>participated in the financing of the transfer of assets, rights</w:t>
      </w:r>
      <w:r w:rsidRPr="00B34608">
        <w:rPr>
          <w:szCs w:val="22"/>
        </w:rPr>
        <w:t xml:space="preserve">, </w:t>
      </w:r>
      <w:r>
        <w:rPr>
          <w:szCs w:val="22"/>
        </w:rPr>
        <w:t xml:space="preserve">transactions and obligations of </w:t>
      </w:r>
      <w:r w:rsidRPr="00B34608">
        <w:rPr>
          <w:szCs w:val="22"/>
        </w:rPr>
        <w:t xml:space="preserve">AB </w:t>
      </w:r>
      <w:proofErr w:type="spellStart"/>
      <w:r w:rsidRPr="00B34608">
        <w:rPr>
          <w:szCs w:val="22"/>
        </w:rPr>
        <w:t>Ūkio</w:t>
      </w:r>
      <w:proofErr w:type="spellEnd"/>
      <w:r w:rsidRPr="00B34608">
        <w:rPr>
          <w:szCs w:val="22"/>
        </w:rPr>
        <w:t xml:space="preserve"> </w:t>
      </w:r>
      <w:proofErr w:type="spellStart"/>
      <w:r w:rsidRPr="00B34608">
        <w:rPr>
          <w:szCs w:val="22"/>
        </w:rPr>
        <w:t>bank</w:t>
      </w:r>
      <w:r>
        <w:rPr>
          <w:szCs w:val="22"/>
        </w:rPr>
        <w:t>as</w:t>
      </w:r>
      <w:proofErr w:type="spellEnd"/>
      <w:r>
        <w:rPr>
          <w:szCs w:val="22"/>
        </w:rPr>
        <w:t xml:space="preserve"> to</w:t>
      </w:r>
      <w:r w:rsidRPr="00B34608">
        <w:rPr>
          <w:szCs w:val="22"/>
        </w:rPr>
        <w:t xml:space="preserve"> AB </w:t>
      </w:r>
      <w:proofErr w:type="spellStart"/>
      <w:r w:rsidRPr="00B34608">
        <w:rPr>
          <w:szCs w:val="22"/>
        </w:rPr>
        <w:t>Šiaulių</w:t>
      </w:r>
      <w:proofErr w:type="spellEnd"/>
      <w:r w:rsidRPr="00B34608">
        <w:rPr>
          <w:szCs w:val="22"/>
        </w:rPr>
        <w:t xml:space="preserve"> </w:t>
      </w:r>
      <w:proofErr w:type="spellStart"/>
      <w:r w:rsidRPr="00B34608">
        <w:rPr>
          <w:szCs w:val="22"/>
        </w:rPr>
        <w:t>bank</w:t>
      </w:r>
      <w:r>
        <w:rPr>
          <w:szCs w:val="22"/>
        </w:rPr>
        <w:t>as</w:t>
      </w:r>
      <w:proofErr w:type="spellEnd"/>
      <w:r>
        <w:rPr>
          <w:szCs w:val="22"/>
        </w:rPr>
        <w:t xml:space="preserve"> </w:t>
      </w:r>
      <w:r w:rsidRPr="00B34608">
        <w:rPr>
          <w:szCs w:val="22"/>
        </w:rPr>
        <w:t xml:space="preserve">– </w:t>
      </w:r>
      <w:r>
        <w:rPr>
          <w:szCs w:val="22"/>
        </w:rPr>
        <w:t>for this purpose, the amount of EUR</w:t>
      </w:r>
      <w:r w:rsidRPr="00B34608">
        <w:rPr>
          <w:szCs w:val="22"/>
        </w:rPr>
        <w:t xml:space="preserve"> 269</w:t>
      </w:r>
      <w:r>
        <w:rPr>
          <w:szCs w:val="22"/>
        </w:rPr>
        <w:t>.</w:t>
      </w:r>
      <w:r w:rsidRPr="00B34608">
        <w:rPr>
          <w:szCs w:val="22"/>
        </w:rPr>
        <w:t xml:space="preserve">38 </w:t>
      </w:r>
      <w:r>
        <w:rPr>
          <w:szCs w:val="22"/>
        </w:rPr>
        <w:t>million</w:t>
      </w:r>
      <w:r w:rsidRPr="00B34608">
        <w:rPr>
          <w:szCs w:val="22"/>
        </w:rPr>
        <w:t xml:space="preserve"> </w:t>
      </w:r>
      <w:r>
        <w:rPr>
          <w:szCs w:val="22"/>
        </w:rPr>
        <w:t>was used the major part of which</w:t>
      </w:r>
      <w:r w:rsidRPr="00B34608">
        <w:rPr>
          <w:szCs w:val="22"/>
        </w:rPr>
        <w:t xml:space="preserve"> (</w:t>
      </w:r>
      <w:r>
        <w:rPr>
          <w:szCs w:val="22"/>
        </w:rPr>
        <w:t xml:space="preserve">EUR </w:t>
      </w:r>
      <w:r w:rsidRPr="00B34608">
        <w:rPr>
          <w:szCs w:val="22"/>
        </w:rPr>
        <w:t>231</w:t>
      </w:r>
      <w:r>
        <w:rPr>
          <w:szCs w:val="22"/>
        </w:rPr>
        <w:t>.</w:t>
      </w:r>
      <w:r w:rsidRPr="00B34608">
        <w:rPr>
          <w:szCs w:val="22"/>
        </w:rPr>
        <w:t xml:space="preserve">45 </w:t>
      </w:r>
      <w:r>
        <w:rPr>
          <w:szCs w:val="22"/>
        </w:rPr>
        <w:t>million</w:t>
      </w:r>
      <w:r w:rsidRPr="00B34608">
        <w:rPr>
          <w:szCs w:val="22"/>
        </w:rPr>
        <w:t xml:space="preserve">) </w:t>
      </w:r>
      <w:r>
        <w:rPr>
          <w:szCs w:val="22"/>
        </w:rPr>
        <w:t>was borrowed by the Company</w:t>
      </w:r>
      <w:r w:rsidRPr="00B34608">
        <w:rPr>
          <w:szCs w:val="22"/>
        </w:rPr>
        <w:t xml:space="preserve"> </w:t>
      </w:r>
      <w:r>
        <w:rPr>
          <w:szCs w:val="22"/>
        </w:rPr>
        <w:t>from the Ministry of Finance of the Republic of Lithuania</w:t>
      </w:r>
      <w:r w:rsidRPr="00B34608">
        <w:rPr>
          <w:szCs w:val="22"/>
        </w:rPr>
        <w:t xml:space="preserve">. </w:t>
      </w:r>
      <w:r>
        <w:rPr>
          <w:szCs w:val="22"/>
        </w:rPr>
        <w:t>By 31 December</w:t>
      </w:r>
      <w:r w:rsidRPr="00B34608">
        <w:rPr>
          <w:szCs w:val="22"/>
        </w:rPr>
        <w:t xml:space="preserve"> 2017</w:t>
      </w:r>
      <w:r>
        <w:rPr>
          <w:szCs w:val="22"/>
        </w:rPr>
        <w:t>, the</w:t>
      </w:r>
      <w:r w:rsidRPr="00B34608">
        <w:rPr>
          <w:szCs w:val="22"/>
        </w:rPr>
        <w:t xml:space="preserve"> </w:t>
      </w:r>
      <w:r>
        <w:rPr>
          <w:szCs w:val="22"/>
        </w:rPr>
        <w:t xml:space="preserve">Company succeeded in recovering EUR </w:t>
      </w:r>
      <w:r w:rsidRPr="00B34608">
        <w:rPr>
          <w:szCs w:val="22"/>
        </w:rPr>
        <w:t>51</w:t>
      </w:r>
      <w:r>
        <w:rPr>
          <w:szCs w:val="22"/>
        </w:rPr>
        <w:t>.</w:t>
      </w:r>
      <w:r w:rsidRPr="00B34608">
        <w:rPr>
          <w:szCs w:val="22"/>
        </w:rPr>
        <w:t xml:space="preserve">46 </w:t>
      </w:r>
      <w:r>
        <w:rPr>
          <w:szCs w:val="22"/>
        </w:rPr>
        <w:t>from these bankruptcy proceedings.</w:t>
      </w:r>
    </w:p>
    <w:p w:rsidR="00D2569B" w:rsidRPr="00B34608" w:rsidRDefault="00D2569B" w:rsidP="00896307">
      <w:pPr>
        <w:pStyle w:val="Sraopastraipa"/>
        <w:numPr>
          <w:ilvl w:val="1"/>
          <w:numId w:val="19"/>
        </w:numPr>
        <w:ind w:left="0" w:right="-1" w:firstLine="567"/>
        <w:jc w:val="both"/>
        <w:rPr>
          <w:szCs w:val="22"/>
        </w:rPr>
      </w:pPr>
      <w:r w:rsidRPr="00B34608">
        <w:rPr>
          <w:szCs w:val="22"/>
          <w:u w:val="single"/>
        </w:rPr>
        <w:t xml:space="preserve"> </w:t>
      </w:r>
      <w:r>
        <w:rPr>
          <w:szCs w:val="22"/>
          <w:u w:val="single"/>
        </w:rPr>
        <w:t xml:space="preserve">Bankruptcy of the </w:t>
      </w:r>
      <w:r w:rsidRPr="00B34608">
        <w:rPr>
          <w:szCs w:val="22"/>
          <w:u w:val="single"/>
        </w:rPr>
        <w:t>Na</w:t>
      </w:r>
      <w:r>
        <w:rPr>
          <w:szCs w:val="22"/>
          <w:u w:val="single"/>
        </w:rPr>
        <w:t>tional Credit Union</w:t>
      </w:r>
      <w:r w:rsidRPr="00B34608">
        <w:rPr>
          <w:szCs w:val="22"/>
        </w:rPr>
        <w:t xml:space="preserve">. </w:t>
      </w:r>
      <w:r w:rsidRPr="00587CA1">
        <w:rPr>
          <w:szCs w:val="22"/>
        </w:rPr>
        <w:t>T</w:t>
      </w:r>
      <w:r>
        <w:rPr>
          <w:szCs w:val="22"/>
        </w:rPr>
        <w:t xml:space="preserve">he insured event was declared on 24 January </w:t>
      </w:r>
      <w:r w:rsidRPr="00B34608">
        <w:rPr>
          <w:szCs w:val="22"/>
        </w:rPr>
        <w:t xml:space="preserve">2013. </w:t>
      </w:r>
      <w:r>
        <w:rPr>
          <w:szCs w:val="22"/>
        </w:rPr>
        <w:t>The insurance compensations amounted to EUR</w:t>
      </w:r>
      <w:r w:rsidRPr="00B34608">
        <w:rPr>
          <w:szCs w:val="22"/>
        </w:rPr>
        <w:t xml:space="preserve"> 34</w:t>
      </w:r>
      <w:r>
        <w:rPr>
          <w:szCs w:val="22"/>
        </w:rPr>
        <w:t>.</w:t>
      </w:r>
      <w:r w:rsidRPr="00B34608">
        <w:rPr>
          <w:szCs w:val="22"/>
        </w:rPr>
        <w:t xml:space="preserve">85 </w:t>
      </w:r>
      <w:r>
        <w:rPr>
          <w:szCs w:val="22"/>
        </w:rPr>
        <w:t>million</w:t>
      </w:r>
      <w:r w:rsidRPr="00B34608">
        <w:rPr>
          <w:szCs w:val="22"/>
        </w:rPr>
        <w:t xml:space="preserve">. </w:t>
      </w:r>
      <w:r>
        <w:rPr>
          <w:szCs w:val="22"/>
        </w:rPr>
        <w:t>By 31 December</w:t>
      </w:r>
      <w:r w:rsidRPr="00B34608">
        <w:rPr>
          <w:szCs w:val="22"/>
        </w:rPr>
        <w:t xml:space="preserve"> 2017</w:t>
      </w:r>
      <w:r>
        <w:rPr>
          <w:szCs w:val="22"/>
        </w:rPr>
        <w:t>, the</w:t>
      </w:r>
      <w:r w:rsidRPr="00B34608">
        <w:rPr>
          <w:szCs w:val="22"/>
        </w:rPr>
        <w:t xml:space="preserve"> </w:t>
      </w:r>
      <w:r>
        <w:rPr>
          <w:szCs w:val="22"/>
        </w:rPr>
        <w:t xml:space="preserve">amount of EUR </w:t>
      </w:r>
      <w:r w:rsidRPr="00B34608">
        <w:rPr>
          <w:szCs w:val="22"/>
        </w:rPr>
        <w:t>17</w:t>
      </w:r>
      <w:r>
        <w:rPr>
          <w:szCs w:val="22"/>
        </w:rPr>
        <w:t>.</w:t>
      </w:r>
      <w:r w:rsidRPr="00B34608">
        <w:rPr>
          <w:szCs w:val="22"/>
        </w:rPr>
        <w:t xml:space="preserve">54 </w:t>
      </w:r>
      <w:r>
        <w:rPr>
          <w:szCs w:val="22"/>
        </w:rPr>
        <w:t>million</w:t>
      </w:r>
      <w:r w:rsidRPr="00B34608">
        <w:rPr>
          <w:szCs w:val="22"/>
        </w:rPr>
        <w:t xml:space="preserve"> </w:t>
      </w:r>
      <w:r>
        <w:rPr>
          <w:szCs w:val="22"/>
        </w:rPr>
        <w:t>had been successfully recovered from these bankruptcy proceedings.</w:t>
      </w:r>
    </w:p>
    <w:p w:rsidR="00D2569B" w:rsidRPr="00B34608" w:rsidRDefault="00D2569B" w:rsidP="00896307">
      <w:pPr>
        <w:pStyle w:val="Sraopastraipa"/>
        <w:numPr>
          <w:ilvl w:val="1"/>
          <w:numId w:val="19"/>
        </w:numPr>
        <w:ind w:left="0" w:right="-1" w:firstLine="567"/>
        <w:jc w:val="both"/>
        <w:rPr>
          <w:szCs w:val="22"/>
        </w:rPr>
      </w:pPr>
      <w:r w:rsidRPr="00B34608">
        <w:rPr>
          <w:szCs w:val="22"/>
        </w:rPr>
        <w:t xml:space="preserve"> </w:t>
      </w:r>
      <w:r>
        <w:rPr>
          <w:szCs w:val="22"/>
          <w:u w:val="single"/>
        </w:rPr>
        <w:t xml:space="preserve">Bankruptcy of the Credit Union </w:t>
      </w:r>
      <w:proofErr w:type="spellStart"/>
      <w:r w:rsidRPr="00B34608">
        <w:rPr>
          <w:szCs w:val="22"/>
          <w:u w:val="single"/>
        </w:rPr>
        <w:t>Švyturio</w:t>
      </w:r>
      <w:proofErr w:type="spellEnd"/>
      <w:r w:rsidRPr="00B34608">
        <w:rPr>
          <w:szCs w:val="22"/>
          <w:u w:val="single"/>
        </w:rPr>
        <w:t xml:space="preserve"> </w:t>
      </w:r>
      <w:proofErr w:type="spellStart"/>
      <w:r w:rsidRPr="00B34608">
        <w:rPr>
          <w:szCs w:val="22"/>
          <w:u w:val="single"/>
        </w:rPr>
        <w:t>taupomoji</w:t>
      </w:r>
      <w:proofErr w:type="spellEnd"/>
      <w:r w:rsidRPr="00B34608">
        <w:rPr>
          <w:szCs w:val="22"/>
          <w:u w:val="single"/>
        </w:rPr>
        <w:t xml:space="preserve"> </w:t>
      </w:r>
      <w:proofErr w:type="spellStart"/>
      <w:r w:rsidRPr="00B34608">
        <w:rPr>
          <w:szCs w:val="22"/>
          <w:u w:val="single"/>
        </w:rPr>
        <w:t>kasa</w:t>
      </w:r>
      <w:proofErr w:type="spellEnd"/>
      <w:r w:rsidRPr="00B34608">
        <w:rPr>
          <w:szCs w:val="22"/>
        </w:rPr>
        <w:t xml:space="preserve">. </w:t>
      </w:r>
      <w:r w:rsidRPr="00587CA1">
        <w:rPr>
          <w:szCs w:val="22"/>
        </w:rPr>
        <w:t>T</w:t>
      </w:r>
      <w:r>
        <w:rPr>
          <w:szCs w:val="22"/>
        </w:rPr>
        <w:t xml:space="preserve">he insured event was declared on 24 January </w:t>
      </w:r>
      <w:r w:rsidRPr="00B34608">
        <w:rPr>
          <w:szCs w:val="22"/>
        </w:rPr>
        <w:t xml:space="preserve">2013. </w:t>
      </w:r>
      <w:r>
        <w:rPr>
          <w:szCs w:val="22"/>
        </w:rPr>
        <w:t>The insurance compensations to depositors amounted to EUR 4.</w:t>
      </w:r>
      <w:r w:rsidRPr="00B34608">
        <w:rPr>
          <w:szCs w:val="22"/>
        </w:rPr>
        <w:t xml:space="preserve">95 </w:t>
      </w:r>
      <w:r>
        <w:rPr>
          <w:szCs w:val="22"/>
        </w:rPr>
        <w:t>million.</w:t>
      </w:r>
      <w:r w:rsidRPr="00B34608">
        <w:rPr>
          <w:szCs w:val="22"/>
        </w:rPr>
        <w:t xml:space="preserve"> </w:t>
      </w:r>
      <w:r>
        <w:rPr>
          <w:szCs w:val="22"/>
        </w:rPr>
        <w:t>By 31 December</w:t>
      </w:r>
      <w:r w:rsidRPr="00B34608">
        <w:rPr>
          <w:szCs w:val="22"/>
        </w:rPr>
        <w:t xml:space="preserve"> 2017</w:t>
      </w:r>
      <w:r>
        <w:rPr>
          <w:szCs w:val="22"/>
        </w:rPr>
        <w:t>, the</w:t>
      </w:r>
      <w:r w:rsidRPr="00B34608">
        <w:rPr>
          <w:szCs w:val="22"/>
        </w:rPr>
        <w:t xml:space="preserve"> </w:t>
      </w:r>
      <w:r>
        <w:rPr>
          <w:szCs w:val="22"/>
        </w:rPr>
        <w:t>amount of EUR 2.</w:t>
      </w:r>
      <w:r w:rsidRPr="00B34608">
        <w:rPr>
          <w:szCs w:val="22"/>
        </w:rPr>
        <w:t xml:space="preserve">99 </w:t>
      </w:r>
      <w:r>
        <w:rPr>
          <w:szCs w:val="22"/>
        </w:rPr>
        <w:t>million</w:t>
      </w:r>
      <w:r w:rsidRPr="00B34608">
        <w:rPr>
          <w:szCs w:val="22"/>
        </w:rPr>
        <w:t xml:space="preserve"> </w:t>
      </w:r>
      <w:r>
        <w:rPr>
          <w:szCs w:val="22"/>
        </w:rPr>
        <w:t>had been successfully recovered from these bankruptcy proceedings.</w:t>
      </w:r>
    </w:p>
    <w:p w:rsidR="00D2569B" w:rsidRPr="00B34608" w:rsidRDefault="00D2569B" w:rsidP="00896307">
      <w:pPr>
        <w:pStyle w:val="Sraopastraipa"/>
        <w:numPr>
          <w:ilvl w:val="1"/>
          <w:numId w:val="19"/>
        </w:numPr>
        <w:ind w:left="0" w:right="-1" w:firstLine="567"/>
        <w:jc w:val="both"/>
        <w:rPr>
          <w:szCs w:val="22"/>
        </w:rPr>
      </w:pPr>
      <w:r>
        <w:rPr>
          <w:szCs w:val="22"/>
          <w:u w:val="single"/>
        </w:rPr>
        <w:t xml:space="preserve">Bankruptcy of the Credit Union </w:t>
      </w:r>
      <w:proofErr w:type="spellStart"/>
      <w:r w:rsidRPr="00B34608">
        <w:rPr>
          <w:szCs w:val="22"/>
          <w:u w:val="single"/>
        </w:rPr>
        <w:t>Laikinosios</w:t>
      </w:r>
      <w:proofErr w:type="spellEnd"/>
      <w:r w:rsidRPr="00B34608">
        <w:rPr>
          <w:szCs w:val="22"/>
          <w:u w:val="single"/>
        </w:rPr>
        <w:t xml:space="preserve"> </w:t>
      </w:r>
      <w:proofErr w:type="spellStart"/>
      <w:r w:rsidRPr="00B34608">
        <w:rPr>
          <w:szCs w:val="22"/>
          <w:u w:val="single"/>
        </w:rPr>
        <w:t>sostinės</w:t>
      </w:r>
      <w:proofErr w:type="spellEnd"/>
      <w:r w:rsidRPr="00B34608">
        <w:rPr>
          <w:szCs w:val="22"/>
          <w:u w:val="single"/>
        </w:rPr>
        <w:t xml:space="preserve"> </w:t>
      </w:r>
      <w:proofErr w:type="spellStart"/>
      <w:r w:rsidRPr="00B34608">
        <w:rPr>
          <w:szCs w:val="22"/>
          <w:u w:val="single"/>
        </w:rPr>
        <w:t>kreditas</w:t>
      </w:r>
      <w:proofErr w:type="spellEnd"/>
      <w:r w:rsidRPr="00B34608">
        <w:rPr>
          <w:szCs w:val="22"/>
        </w:rPr>
        <w:t xml:space="preserve">. </w:t>
      </w:r>
      <w:r w:rsidRPr="00587CA1">
        <w:rPr>
          <w:szCs w:val="22"/>
        </w:rPr>
        <w:t>T</w:t>
      </w:r>
      <w:r>
        <w:rPr>
          <w:szCs w:val="22"/>
        </w:rPr>
        <w:t xml:space="preserve">he insured event was declared on 9 May </w:t>
      </w:r>
      <w:r w:rsidRPr="00B34608">
        <w:rPr>
          <w:szCs w:val="22"/>
        </w:rPr>
        <w:t xml:space="preserve">2013. </w:t>
      </w:r>
      <w:r>
        <w:rPr>
          <w:szCs w:val="22"/>
        </w:rPr>
        <w:t xml:space="preserve">The insurance compensations to depositors amounted to EUR </w:t>
      </w:r>
      <w:r w:rsidRPr="00B34608">
        <w:rPr>
          <w:szCs w:val="22"/>
        </w:rPr>
        <w:t>6</w:t>
      </w:r>
      <w:r>
        <w:rPr>
          <w:szCs w:val="22"/>
        </w:rPr>
        <w:t>.</w:t>
      </w:r>
      <w:r w:rsidRPr="00B34608">
        <w:rPr>
          <w:szCs w:val="22"/>
        </w:rPr>
        <w:t>67</w:t>
      </w:r>
      <w:r>
        <w:rPr>
          <w:szCs w:val="22"/>
        </w:rPr>
        <w:t xml:space="preserve"> million</w:t>
      </w:r>
      <w:r w:rsidRPr="00B34608">
        <w:rPr>
          <w:szCs w:val="22"/>
        </w:rPr>
        <w:t xml:space="preserve">. </w:t>
      </w:r>
      <w:r>
        <w:rPr>
          <w:szCs w:val="22"/>
        </w:rPr>
        <w:t>By 31 December</w:t>
      </w:r>
      <w:r w:rsidRPr="00B34608">
        <w:rPr>
          <w:szCs w:val="22"/>
        </w:rPr>
        <w:t xml:space="preserve"> 2017</w:t>
      </w:r>
      <w:r>
        <w:rPr>
          <w:szCs w:val="22"/>
        </w:rPr>
        <w:t>, the</w:t>
      </w:r>
      <w:r w:rsidRPr="00B34608">
        <w:rPr>
          <w:szCs w:val="22"/>
        </w:rPr>
        <w:t xml:space="preserve"> </w:t>
      </w:r>
      <w:r>
        <w:rPr>
          <w:szCs w:val="22"/>
        </w:rPr>
        <w:t>amount of EUR 2.</w:t>
      </w:r>
      <w:r w:rsidRPr="00B34608">
        <w:rPr>
          <w:szCs w:val="22"/>
        </w:rPr>
        <w:t xml:space="preserve">09 </w:t>
      </w:r>
      <w:r>
        <w:rPr>
          <w:szCs w:val="22"/>
        </w:rPr>
        <w:t>million had already been successfully recovered from these bankruptcy proceedings.</w:t>
      </w:r>
    </w:p>
    <w:p w:rsidR="00D2569B" w:rsidRPr="00B34608" w:rsidRDefault="00D2569B" w:rsidP="00896307">
      <w:pPr>
        <w:pStyle w:val="Sraopastraipa"/>
        <w:numPr>
          <w:ilvl w:val="1"/>
          <w:numId w:val="19"/>
        </w:numPr>
        <w:ind w:left="0" w:right="-1" w:firstLine="567"/>
        <w:jc w:val="both"/>
        <w:rPr>
          <w:szCs w:val="22"/>
        </w:rPr>
      </w:pPr>
      <w:r w:rsidRPr="00B34608">
        <w:rPr>
          <w:szCs w:val="22"/>
        </w:rPr>
        <w:t xml:space="preserve"> </w:t>
      </w:r>
      <w:r>
        <w:rPr>
          <w:szCs w:val="22"/>
          <w:u w:val="single"/>
        </w:rPr>
        <w:t xml:space="preserve">Bankruptcy of the Credit Union </w:t>
      </w:r>
      <w:r w:rsidRPr="00B34608">
        <w:rPr>
          <w:szCs w:val="22"/>
          <w:u w:val="single"/>
        </w:rPr>
        <w:t xml:space="preserve">Vilniaus </w:t>
      </w:r>
      <w:proofErr w:type="spellStart"/>
      <w:r w:rsidRPr="00B34608">
        <w:rPr>
          <w:szCs w:val="22"/>
          <w:u w:val="single"/>
        </w:rPr>
        <w:t>taupomoji</w:t>
      </w:r>
      <w:proofErr w:type="spellEnd"/>
      <w:r w:rsidRPr="00B34608">
        <w:rPr>
          <w:szCs w:val="22"/>
          <w:u w:val="single"/>
        </w:rPr>
        <w:t xml:space="preserve"> </w:t>
      </w:r>
      <w:proofErr w:type="spellStart"/>
      <w:r w:rsidRPr="00B34608">
        <w:rPr>
          <w:szCs w:val="22"/>
          <w:u w:val="single"/>
        </w:rPr>
        <w:t>kasa</w:t>
      </w:r>
      <w:proofErr w:type="spellEnd"/>
      <w:r w:rsidRPr="00B34608">
        <w:rPr>
          <w:szCs w:val="22"/>
        </w:rPr>
        <w:t xml:space="preserve">. </w:t>
      </w:r>
      <w:r w:rsidRPr="00587CA1">
        <w:rPr>
          <w:szCs w:val="22"/>
        </w:rPr>
        <w:t>T</w:t>
      </w:r>
      <w:r>
        <w:rPr>
          <w:szCs w:val="22"/>
        </w:rPr>
        <w:t>he insured event was declared on</w:t>
      </w:r>
      <w:r w:rsidRPr="00B34608">
        <w:rPr>
          <w:szCs w:val="22"/>
        </w:rPr>
        <w:t xml:space="preserve"> </w:t>
      </w:r>
      <w:r>
        <w:rPr>
          <w:szCs w:val="22"/>
        </w:rPr>
        <w:t xml:space="preserve">17 January </w:t>
      </w:r>
      <w:r w:rsidRPr="00B34608">
        <w:rPr>
          <w:szCs w:val="22"/>
        </w:rPr>
        <w:t xml:space="preserve">2014. </w:t>
      </w:r>
      <w:r>
        <w:rPr>
          <w:szCs w:val="22"/>
        </w:rPr>
        <w:t xml:space="preserve">The insurance compensations amounted to EUR </w:t>
      </w:r>
      <w:r w:rsidRPr="00B34608">
        <w:rPr>
          <w:szCs w:val="22"/>
        </w:rPr>
        <w:t>64</w:t>
      </w:r>
      <w:r>
        <w:rPr>
          <w:szCs w:val="22"/>
        </w:rPr>
        <w:t>.</w:t>
      </w:r>
      <w:r w:rsidRPr="00B34608">
        <w:rPr>
          <w:szCs w:val="22"/>
        </w:rPr>
        <w:t xml:space="preserve">10 </w:t>
      </w:r>
      <w:r>
        <w:rPr>
          <w:szCs w:val="22"/>
        </w:rPr>
        <w:t>million</w:t>
      </w:r>
      <w:r w:rsidRPr="00B34608">
        <w:rPr>
          <w:szCs w:val="22"/>
        </w:rPr>
        <w:t xml:space="preserve">. </w:t>
      </w:r>
      <w:r>
        <w:rPr>
          <w:szCs w:val="22"/>
        </w:rPr>
        <w:t>By 31 December</w:t>
      </w:r>
      <w:r w:rsidRPr="00B34608">
        <w:rPr>
          <w:szCs w:val="22"/>
        </w:rPr>
        <w:t xml:space="preserve"> 2017</w:t>
      </w:r>
      <w:r>
        <w:rPr>
          <w:szCs w:val="22"/>
        </w:rPr>
        <w:t xml:space="preserve">, </w:t>
      </w:r>
      <w:r>
        <w:rPr>
          <w:szCs w:val="22"/>
        </w:rPr>
        <w:lastRenderedPageBreak/>
        <w:t>the</w:t>
      </w:r>
      <w:r w:rsidRPr="00B34608">
        <w:rPr>
          <w:szCs w:val="22"/>
        </w:rPr>
        <w:t xml:space="preserve"> </w:t>
      </w:r>
      <w:r>
        <w:rPr>
          <w:szCs w:val="22"/>
        </w:rPr>
        <w:t xml:space="preserve">amount of EUR </w:t>
      </w:r>
      <w:r w:rsidRPr="00B34608">
        <w:rPr>
          <w:szCs w:val="22"/>
        </w:rPr>
        <w:t>33</w:t>
      </w:r>
      <w:r>
        <w:rPr>
          <w:szCs w:val="22"/>
        </w:rPr>
        <w:t>.</w:t>
      </w:r>
      <w:r w:rsidRPr="00B34608">
        <w:rPr>
          <w:szCs w:val="22"/>
        </w:rPr>
        <w:t xml:space="preserve">28 </w:t>
      </w:r>
      <w:r>
        <w:rPr>
          <w:szCs w:val="22"/>
        </w:rPr>
        <w:t>million</w:t>
      </w:r>
      <w:r w:rsidRPr="00B34608">
        <w:rPr>
          <w:szCs w:val="22"/>
        </w:rPr>
        <w:t xml:space="preserve"> </w:t>
      </w:r>
      <w:r>
        <w:rPr>
          <w:szCs w:val="22"/>
        </w:rPr>
        <w:t>had already been successfully recovered from these bankruptcy proceedings.</w:t>
      </w:r>
    </w:p>
    <w:p w:rsidR="00D2569B" w:rsidRPr="00B34608" w:rsidRDefault="00D2569B" w:rsidP="00896307">
      <w:pPr>
        <w:pStyle w:val="Sraopastraipa"/>
        <w:numPr>
          <w:ilvl w:val="1"/>
          <w:numId w:val="19"/>
        </w:numPr>
        <w:ind w:left="0" w:right="-1" w:firstLine="567"/>
        <w:jc w:val="both"/>
        <w:rPr>
          <w:szCs w:val="22"/>
        </w:rPr>
      </w:pPr>
      <w:r w:rsidRPr="00B34608">
        <w:rPr>
          <w:szCs w:val="22"/>
        </w:rPr>
        <w:t xml:space="preserve"> </w:t>
      </w:r>
      <w:r>
        <w:rPr>
          <w:szCs w:val="22"/>
          <w:u w:val="single"/>
        </w:rPr>
        <w:t xml:space="preserve">Bankruptcy of the Credit Union </w:t>
      </w:r>
      <w:proofErr w:type="spellStart"/>
      <w:r w:rsidRPr="00B34608">
        <w:rPr>
          <w:szCs w:val="22"/>
          <w:u w:val="single"/>
        </w:rPr>
        <w:t>Naftininkų</w:t>
      </w:r>
      <w:proofErr w:type="spellEnd"/>
      <w:r w:rsidRPr="00B34608">
        <w:rPr>
          <w:szCs w:val="22"/>
          <w:u w:val="single"/>
        </w:rPr>
        <w:t xml:space="preserve"> </w:t>
      </w:r>
      <w:proofErr w:type="spellStart"/>
      <w:r w:rsidRPr="00B34608">
        <w:rPr>
          <w:szCs w:val="22"/>
          <w:u w:val="single"/>
        </w:rPr>
        <w:t>investicijos</w:t>
      </w:r>
      <w:proofErr w:type="spellEnd"/>
      <w:r w:rsidRPr="00B34608">
        <w:rPr>
          <w:szCs w:val="22"/>
        </w:rPr>
        <w:t xml:space="preserve">. </w:t>
      </w:r>
      <w:r w:rsidRPr="00587CA1">
        <w:rPr>
          <w:szCs w:val="22"/>
        </w:rPr>
        <w:t>T</w:t>
      </w:r>
      <w:r>
        <w:rPr>
          <w:szCs w:val="22"/>
        </w:rPr>
        <w:t>he insured event was declared on</w:t>
      </w:r>
      <w:r w:rsidRPr="00B34608">
        <w:rPr>
          <w:szCs w:val="22"/>
        </w:rPr>
        <w:t xml:space="preserve"> </w:t>
      </w:r>
      <w:r>
        <w:rPr>
          <w:szCs w:val="22"/>
        </w:rPr>
        <w:t xml:space="preserve">30 April </w:t>
      </w:r>
      <w:r w:rsidRPr="00B34608">
        <w:rPr>
          <w:szCs w:val="22"/>
        </w:rPr>
        <w:t xml:space="preserve">2014. </w:t>
      </w:r>
      <w:r>
        <w:rPr>
          <w:szCs w:val="22"/>
        </w:rPr>
        <w:t>The insurance compensations amounted to EUR</w:t>
      </w:r>
      <w:r w:rsidRPr="00B34608">
        <w:rPr>
          <w:szCs w:val="22"/>
        </w:rPr>
        <w:t xml:space="preserve"> 3</w:t>
      </w:r>
      <w:r>
        <w:rPr>
          <w:szCs w:val="22"/>
        </w:rPr>
        <w:t>.</w:t>
      </w:r>
      <w:r w:rsidRPr="00B34608">
        <w:rPr>
          <w:szCs w:val="22"/>
        </w:rPr>
        <w:t xml:space="preserve">43 </w:t>
      </w:r>
      <w:r>
        <w:rPr>
          <w:szCs w:val="22"/>
        </w:rPr>
        <w:t>million.</w:t>
      </w:r>
      <w:r w:rsidRPr="00B34608">
        <w:rPr>
          <w:szCs w:val="22"/>
        </w:rPr>
        <w:t xml:space="preserve"> </w:t>
      </w:r>
      <w:r>
        <w:rPr>
          <w:szCs w:val="22"/>
        </w:rPr>
        <w:t>By 31 December</w:t>
      </w:r>
      <w:r w:rsidRPr="00B34608">
        <w:rPr>
          <w:szCs w:val="22"/>
        </w:rPr>
        <w:t xml:space="preserve"> 2017</w:t>
      </w:r>
      <w:r>
        <w:rPr>
          <w:szCs w:val="22"/>
        </w:rPr>
        <w:t>, the</w:t>
      </w:r>
      <w:r w:rsidRPr="00B34608">
        <w:rPr>
          <w:szCs w:val="22"/>
        </w:rPr>
        <w:t xml:space="preserve"> </w:t>
      </w:r>
      <w:r>
        <w:rPr>
          <w:szCs w:val="22"/>
        </w:rPr>
        <w:t>amount of EUR 1.</w:t>
      </w:r>
      <w:r w:rsidRPr="00B34608">
        <w:rPr>
          <w:szCs w:val="22"/>
        </w:rPr>
        <w:t xml:space="preserve">37 </w:t>
      </w:r>
      <w:r>
        <w:rPr>
          <w:szCs w:val="22"/>
        </w:rPr>
        <w:t>million</w:t>
      </w:r>
      <w:r w:rsidRPr="00B34608">
        <w:rPr>
          <w:szCs w:val="22"/>
        </w:rPr>
        <w:t xml:space="preserve"> </w:t>
      </w:r>
      <w:r>
        <w:rPr>
          <w:szCs w:val="22"/>
        </w:rPr>
        <w:t>had been successfully recovered from these bankruptcy proceedings</w:t>
      </w:r>
      <w:r w:rsidRPr="00B34608">
        <w:rPr>
          <w:szCs w:val="22"/>
        </w:rPr>
        <w:t>.</w:t>
      </w:r>
    </w:p>
    <w:p w:rsidR="00D2569B" w:rsidRPr="00B34608" w:rsidRDefault="00D2569B" w:rsidP="00896307">
      <w:pPr>
        <w:pStyle w:val="Sraopastraipa"/>
        <w:numPr>
          <w:ilvl w:val="1"/>
          <w:numId w:val="19"/>
        </w:numPr>
        <w:ind w:left="0" w:right="-1" w:firstLine="567"/>
        <w:jc w:val="both"/>
        <w:rPr>
          <w:szCs w:val="22"/>
        </w:rPr>
      </w:pPr>
      <w:r>
        <w:rPr>
          <w:szCs w:val="22"/>
          <w:u w:val="single"/>
        </w:rPr>
        <w:t xml:space="preserve">Bankruptcy of the Credit Union </w:t>
      </w:r>
      <w:r w:rsidRPr="00B34608">
        <w:rPr>
          <w:szCs w:val="22"/>
          <w:u w:val="single"/>
        </w:rPr>
        <w:t>Amber</w:t>
      </w:r>
      <w:r w:rsidRPr="00B34608">
        <w:rPr>
          <w:szCs w:val="22"/>
        </w:rPr>
        <w:t xml:space="preserve">. </w:t>
      </w:r>
      <w:r w:rsidRPr="00587CA1">
        <w:rPr>
          <w:szCs w:val="22"/>
        </w:rPr>
        <w:t>T</w:t>
      </w:r>
      <w:r>
        <w:rPr>
          <w:szCs w:val="22"/>
        </w:rPr>
        <w:t>he insured event was declared on</w:t>
      </w:r>
      <w:r w:rsidRPr="00B34608">
        <w:rPr>
          <w:szCs w:val="22"/>
        </w:rPr>
        <w:t xml:space="preserve"> </w:t>
      </w:r>
      <w:r>
        <w:rPr>
          <w:szCs w:val="22"/>
        </w:rPr>
        <w:t xml:space="preserve">20 September </w:t>
      </w:r>
      <w:r w:rsidRPr="00B34608">
        <w:rPr>
          <w:szCs w:val="22"/>
        </w:rPr>
        <w:t xml:space="preserve">2016. </w:t>
      </w:r>
      <w:r>
        <w:rPr>
          <w:szCs w:val="22"/>
        </w:rPr>
        <w:t xml:space="preserve">The insurance compensations amounted to EUR </w:t>
      </w:r>
      <w:r w:rsidRPr="00B34608">
        <w:rPr>
          <w:szCs w:val="22"/>
        </w:rPr>
        <w:t>19</w:t>
      </w:r>
      <w:r>
        <w:rPr>
          <w:szCs w:val="22"/>
        </w:rPr>
        <w:t>.</w:t>
      </w:r>
      <w:r w:rsidRPr="00B34608">
        <w:rPr>
          <w:szCs w:val="22"/>
        </w:rPr>
        <w:t xml:space="preserve">97 </w:t>
      </w:r>
      <w:r>
        <w:rPr>
          <w:szCs w:val="22"/>
        </w:rPr>
        <w:t>million. By 31 December</w:t>
      </w:r>
      <w:r w:rsidRPr="00B34608">
        <w:rPr>
          <w:szCs w:val="22"/>
        </w:rPr>
        <w:t xml:space="preserve"> 2017</w:t>
      </w:r>
      <w:r>
        <w:rPr>
          <w:szCs w:val="22"/>
        </w:rPr>
        <w:t>, the</w:t>
      </w:r>
      <w:r w:rsidRPr="00B34608">
        <w:rPr>
          <w:szCs w:val="22"/>
        </w:rPr>
        <w:t xml:space="preserve"> </w:t>
      </w:r>
      <w:r>
        <w:rPr>
          <w:szCs w:val="22"/>
        </w:rPr>
        <w:t>amount of EUR 10.</w:t>
      </w:r>
      <w:r w:rsidRPr="00B34608">
        <w:rPr>
          <w:szCs w:val="22"/>
        </w:rPr>
        <w:t xml:space="preserve">00 </w:t>
      </w:r>
      <w:r>
        <w:rPr>
          <w:szCs w:val="22"/>
        </w:rPr>
        <w:t>million</w:t>
      </w:r>
      <w:r w:rsidRPr="00B34608">
        <w:rPr>
          <w:szCs w:val="22"/>
        </w:rPr>
        <w:t xml:space="preserve"> </w:t>
      </w:r>
      <w:r>
        <w:rPr>
          <w:szCs w:val="22"/>
        </w:rPr>
        <w:t>had already been successfully recovered from these bankruptcy proceedings</w:t>
      </w:r>
      <w:r w:rsidRPr="00B34608">
        <w:rPr>
          <w:szCs w:val="22"/>
        </w:rPr>
        <w:t>.</w:t>
      </w:r>
    </w:p>
    <w:p w:rsidR="00D2569B" w:rsidRPr="00B34608" w:rsidRDefault="00D2569B" w:rsidP="00896307">
      <w:pPr>
        <w:pStyle w:val="Sraopastraipa"/>
        <w:numPr>
          <w:ilvl w:val="1"/>
          <w:numId w:val="19"/>
        </w:numPr>
        <w:ind w:left="0" w:right="-1" w:firstLine="567"/>
        <w:jc w:val="both"/>
        <w:rPr>
          <w:szCs w:val="22"/>
        </w:rPr>
      </w:pPr>
      <w:r>
        <w:rPr>
          <w:szCs w:val="22"/>
          <w:u w:val="single"/>
        </w:rPr>
        <w:t xml:space="preserve">Bankruptcy of the Credit Union </w:t>
      </w:r>
      <w:proofErr w:type="spellStart"/>
      <w:r w:rsidRPr="00B34608">
        <w:rPr>
          <w:szCs w:val="22"/>
          <w:u w:val="single"/>
        </w:rPr>
        <w:t>Žemaitijos</w:t>
      </w:r>
      <w:proofErr w:type="spellEnd"/>
      <w:r w:rsidRPr="00B34608">
        <w:rPr>
          <w:szCs w:val="22"/>
          <w:u w:val="single"/>
        </w:rPr>
        <w:t xml:space="preserve"> </w:t>
      </w:r>
      <w:proofErr w:type="spellStart"/>
      <w:r w:rsidRPr="00B34608">
        <w:rPr>
          <w:szCs w:val="22"/>
          <w:u w:val="single"/>
        </w:rPr>
        <w:t>iždas</w:t>
      </w:r>
      <w:proofErr w:type="spellEnd"/>
      <w:r w:rsidRPr="00B34608">
        <w:rPr>
          <w:szCs w:val="22"/>
        </w:rPr>
        <w:t xml:space="preserve">. </w:t>
      </w:r>
      <w:r w:rsidRPr="00587CA1">
        <w:rPr>
          <w:szCs w:val="22"/>
        </w:rPr>
        <w:t>T</w:t>
      </w:r>
      <w:r>
        <w:rPr>
          <w:szCs w:val="22"/>
        </w:rPr>
        <w:t>he insured event was declared on</w:t>
      </w:r>
      <w:r w:rsidRPr="00B34608">
        <w:rPr>
          <w:szCs w:val="22"/>
        </w:rPr>
        <w:t xml:space="preserve"> </w:t>
      </w:r>
      <w:r>
        <w:rPr>
          <w:szCs w:val="22"/>
        </w:rPr>
        <w:t xml:space="preserve">7 March </w:t>
      </w:r>
      <w:r w:rsidRPr="00B34608">
        <w:rPr>
          <w:szCs w:val="22"/>
        </w:rPr>
        <w:t xml:space="preserve">2017. </w:t>
      </w:r>
      <w:r>
        <w:rPr>
          <w:szCs w:val="22"/>
        </w:rPr>
        <w:t>The insurance compensations amounted to EUR 1.</w:t>
      </w:r>
      <w:r w:rsidRPr="00B34608">
        <w:rPr>
          <w:szCs w:val="22"/>
        </w:rPr>
        <w:t xml:space="preserve">63 </w:t>
      </w:r>
      <w:r>
        <w:rPr>
          <w:szCs w:val="22"/>
        </w:rPr>
        <w:t>million.</w:t>
      </w:r>
      <w:r w:rsidRPr="00B34608">
        <w:rPr>
          <w:szCs w:val="22"/>
        </w:rPr>
        <w:t xml:space="preserve"> </w:t>
      </w:r>
      <w:r>
        <w:rPr>
          <w:szCs w:val="22"/>
        </w:rPr>
        <w:t>By 31 December</w:t>
      </w:r>
      <w:r w:rsidRPr="00B34608">
        <w:rPr>
          <w:szCs w:val="22"/>
        </w:rPr>
        <w:t xml:space="preserve"> 2017</w:t>
      </w:r>
      <w:r>
        <w:rPr>
          <w:szCs w:val="22"/>
        </w:rPr>
        <w:t>, the</w:t>
      </w:r>
      <w:r w:rsidRPr="00B34608">
        <w:rPr>
          <w:szCs w:val="22"/>
        </w:rPr>
        <w:t xml:space="preserve"> </w:t>
      </w:r>
      <w:r>
        <w:rPr>
          <w:szCs w:val="22"/>
        </w:rPr>
        <w:t>amount of EUR</w:t>
      </w:r>
      <w:r w:rsidRPr="00B34608">
        <w:rPr>
          <w:szCs w:val="22"/>
        </w:rPr>
        <w:t xml:space="preserve"> </w:t>
      </w:r>
      <w:r>
        <w:rPr>
          <w:szCs w:val="22"/>
        </w:rPr>
        <w:t>0.</w:t>
      </w:r>
      <w:r w:rsidRPr="00B34608">
        <w:rPr>
          <w:szCs w:val="22"/>
        </w:rPr>
        <w:t xml:space="preserve">56 </w:t>
      </w:r>
      <w:r>
        <w:rPr>
          <w:szCs w:val="22"/>
        </w:rPr>
        <w:t>million</w:t>
      </w:r>
      <w:r w:rsidRPr="00B34608">
        <w:rPr>
          <w:szCs w:val="22"/>
        </w:rPr>
        <w:t xml:space="preserve"> </w:t>
      </w:r>
      <w:r>
        <w:rPr>
          <w:szCs w:val="22"/>
        </w:rPr>
        <w:t>had been successfully recovered from these bankruptcy proceedings</w:t>
      </w:r>
      <w:r w:rsidRPr="00B34608">
        <w:rPr>
          <w:szCs w:val="22"/>
        </w:rPr>
        <w:t xml:space="preserve">. </w:t>
      </w:r>
    </w:p>
    <w:p w:rsidR="00D2569B" w:rsidRPr="00B34608" w:rsidRDefault="00D2569B" w:rsidP="00896307">
      <w:pPr>
        <w:pStyle w:val="Sraopastraipa"/>
        <w:numPr>
          <w:ilvl w:val="1"/>
          <w:numId w:val="19"/>
        </w:numPr>
        <w:ind w:left="0" w:right="-1" w:firstLine="567"/>
        <w:jc w:val="both"/>
        <w:rPr>
          <w:szCs w:val="22"/>
        </w:rPr>
      </w:pPr>
      <w:r>
        <w:rPr>
          <w:szCs w:val="22"/>
          <w:u w:val="single"/>
        </w:rPr>
        <w:t xml:space="preserve">Bankruptcy of the Credit Union </w:t>
      </w:r>
      <w:proofErr w:type="spellStart"/>
      <w:r w:rsidRPr="00B34608">
        <w:rPr>
          <w:szCs w:val="22"/>
          <w:u w:val="single"/>
        </w:rPr>
        <w:t>Pajūrio</w:t>
      </w:r>
      <w:proofErr w:type="spellEnd"/>
      <w:r>
        <w:rPr>
          <w:szCs w:val="22"/>
          <w:u w:val="single"/>
        </w:rPr>
        <w:t xml:space="preserve"> </w:t>
      </w:r>
      <w:proofErr w:type="spellStart"/>
      <w:r>
        <w:rPr>
          <w:szCs w:val="22"/>
          <w:u w:val="single"/>
        </w:rPr>
        <w:t>kredito</w:t>
      </w:r>
      <w:proofErr w:type="spellEnd"/>
      <w:r>
        <w:rPr>
          <w:szCs w:val="22"/>
          <w:u w:val="single"/>
        </w:rPr>
        <w:t xml:space="preserve"> </w:t>
      </w:r>
      <w:proofErr w:type="spellStart"/>
      <w:r>
        <w:rPr>
          <w:szCs w:val="22"/>
          <w:u w:val="single"/>
        </w:rPr>
        <w:t>unija</w:t>
      </w:r>
      <w:proofErr w:type="spellEnd"/>
      <w:r w:rsidRPr="00B34608">
        <w:rPr>
          <w:szCs w:val="22"/>
        </w:rPr>
        <w:t xml:space="preserve">. </w:t>
      </w:r>
      <w:r w:rsidRPr="00587CA1">
        <w:rPr>
          <w:szCs w:val="22"/>
        </w:rPr>
        <w:t>T</w:t>
      </w:r>
      <w:r>
        <w:rPr>
          <w:szCs w:val="22"/>
        </w:rPr>
        <w:t>he insured event was declared on</w:t>
      </w:r>
      <w:r w:rsidRPr="00B34608">
        <w:rPr>
          <w:szCs w:val="22"/>
        </w:rPr>
        <w:t xml:space="preserve"> </w:t>
      </w:r>
      <w:r>
        <w:rPr>
          <w:szCs w:val="22"/>
        </w:rPr>
        <w:t xml:space="preserve">17 March </w:t>
      </w:r>
      <w:r w:rsidRPr="00B34608">
        <w:rPr>
          <w:szCs w:val="22"/>
        </w:rPr>
        <w:t xml:space="preserve">2017. </w:t>
      </w:r>
      <w:r>
        <w:rPr>
          <w:szCs w:val="22"/>
        </w:rPr>
        <w:t>The insurance compensations amounted to EUR 2.</w:t>
      </w:r>
      <w:r w:rsidRPr="00B34608">
        <w:rPr>
          <w:szCs w:val="22"/>
        </w:rPr>
        <w:t xml:space="preserve">15 </w:t>
      </w:r>
      <w:r>
        <w:rPr>
          <w:szCs w:val="22"/>
        </w:rPr>
        <w:t>million</w:t>
      </w:r>
      <w:r w:rsidRPr="00B34608">
        <w:rPr>
          <w:szCs w:val="22"/>
        </w:rPr>
        <w:t xml:space="preserve">. </w:t>
      </w:r>
    </w:p>
    <w:p w:rsidR="00D2569B" w:rsidRPr="00B34608" w:rsidRDefault="00D2569B" w:rsidP="00896307">
      <w:pPr>
        <w:pStyle w:val="Sraopastraipa"/>
        <w:numPr>
          <w:ilvl w:val="1"/>
          <w:numId w:val="19"/>
        </w:numPr>
        <w:ind w:left="0" w:right="-1" w:firstLine="567"/>
        <w:jc w:val="both"/>
        <w:rPr>
          <w:szCs w:val="22"/>
        </w:rPr>
      </w:pPr>
      <w:r>
        <w:rPr>
          <w:szCs w:val="22"/>
          <w:u w:val="single"/>
        </w:rPr>
        <w:t xml:space="preserve">Bankruptcy of the Credit Union </w:t>
      </w:r>
      <w:proofErr w:type="spellStart"/>
      <w:r w:rsidRPr="00B34608">
        <w:rPr>
          <w:szCs w:val="22"/>
          <w:u w:val="single"/>
        </w:rPr>
        <w:t>Baltija</w:t>
      </w:r>
      <w:proofErr w:type="spellEnd"/>
      <w:r w:rsidRPr="00B34608">
        <w:rPr>
          <w:szCs w:val="22"/>
        </w:rPr>
        <w:t xml:space="preserve">. </w:t>
      </w:r>
      <w:r w:rsidRPr="00587CA1">
        <w:rPr>
          <w:szCs w:val="22"/>
        </w:rPr>
        <w:t>T</w:t>
      </w:r>
      <w:r>
        <w:rPr>
          <w:szCs w:val="22"/>
        </w:rPr>
        <w:t>he insured event was declared on</w:t>
      </w:r>
      <w:r w:rsidRPr="00B34608">
        <w:rPr>
          <w:szCs w:val="22"/>
        </w:rPr>
        <w:t xml:space="preserve"> </w:t>
      </w:r>
      <w:r>
        <w:rPr>
          <w:szCs w:val="22"/>
        </w:rPr>
        <w:t xml:space="preserve">25 September </w:t>
      </w:r>
      <w:r w:rsidRPr="00B34608">
        <w:rPr>
          <w:szCs w:val="22"/>
        </w:rPr>
        <w:t xml:space="preserve">2017. </w:t>
      </w:r>
      <w:r>
        <w:rPr>
          <w:szCs w:val="22"/>
        </w:rPr>
        <w:t xml:space="preserve">The insurance compensations amounted to EUR </w:t>
      </w:r>
      <w:r w:rsidRPr="00B34608">
        <w:rPr>
          <w:szCs w:val="22"/>
        </w:rPr>
        <w:t>11</w:t>
      </w:r>
      <w:r>
        <w:rPr>
          <w:szCs w:val="22"/>
        </w:rPr>
        <w:t>.</w:t>
      </w:r>
      <w:r w:rsidRPr="00B34608">
        <w:rPr>
          <w:szCs w:val="22"/>
        </w:rPr>
        <w:t xml:space="preserve">52 </w:t>
      </w:r>
      <w:r>
        <w:rPr>
          <w:szCs w:val="22"/>
        </w:rPr>
        <w:t>million</w:t>
      </w:r>
      <w:r w:rsidRPr="00B34608">
        <w:rPr>
          <w:szCs w:val="22"/>
        </w:rPr>
        <w:t xml:space="preserve">. </w:t>
      </w:r>
    </w:p>
    <w:p w:rsidR="00D2569B" w:rsidRPr="00B34608" w:rsidRDefault="00D2569B" w:rsidP="00896307">
      <w:pPr>
        <w:pStyle w:val="Sraopastraipa"/>
        <w:numPr>
          <w:ilvl w:val="1"/>
          <w:numId w:val="19"/>
        </w:numPr>
        <w:ind w:left="0" w:right="-1" w:firstLine="567"/>
        <w:jc w:val="both"/>
        <w:rPr>
          <w:szCs w:val="22"/>
        </w:rPr>
      </w:pPr>
      <w:r>
        <w:rPr>
          <w:szCs w:val="22"/>
          <w:u w:val="single"/>
        </w:rPr>
        <w:t xml:space="preserve">Bankruptcy of the Credit Union </w:t>
      </w:r>
      <w:proofErr w:type="spellStart"/>
      <w:r w:rsidRPr="00B34608">
        <w:rPr>
          <w:szCs w:val="22"/>
          <w:u w:val="single"/>
        </w:rPr>
        <w:t>Namų</w:t>
      </w:r>
      <w:proofErr w:type="spellEnd"/>
      <w:r w:rsidRPr="00B34608">
        <w:rPr>
          <w:szCs w:val="22"/>
          <w:u w:val="single"/>
        </w:rPr>
        <w:t xml:space="preserve"> </w:t>
      </w:r>
      <w:proofErr w:type="spellStart"/>
      <w:r w:rsidRPr="00B34608">
        <w:rPr>
          <w:szCs w:val="22"/>
          <w:u w:val="single"/>
        </w:rPr>
        <w:t>kredito</w:t>
      </w:r>
      <w:proofErr w:type="spellEnd"/>
      <w:r w:rsidRPr="00B34608">
        <w:rPr>
          <w:szCs w:val="22"/>
          <w:u w:val="single"/>
        </w:rPr>
        <w:t xml:space="preserve"> </w:t>
      </w:r>
      <w:proofErr w:type="spellStart"/>
      <w:r w:rsidRPr="00B34608">
        <w:rPr>
          <w:szCs w:val="22"/>
          <w:u w:val="single"/>
        </w:rPr>
        <w:t>unij</w:t>
      </w:r>
      <w:r>
        <w:rPr>
          <w:szCs w:val="22"/>
          <w:u w:val="single"/>
        </w:rPr>
        <w:t>a</w:t>
      </w:r>
      <w:proofErr w:type="spellEnd"/>
      <w:r w:rsidRPr="00B34608">
        <w:rPr>
          <w:szCs w:val="22"/>
        </w:rPr>
        <w:t xml:space="preserve">. </w:t>
      </w:r>
      <w:r w:rsidRPr="00587CA1">
        <w:rPr>
          <w:szCs w:val="22"/>
        </w:rPr>
        <w:t>T</w:t>
      </w:r>
      <w:r>
        <w:rPr>
          <w:szCs w:val="22"/>
        </w:rPr>
        <w:t>he insured event was declared on</w:t>
      </w:r>
      <w:r w:rsidRPr="00B34608">
        <w:rPr>
          <w:szCs w:val="22"/>
        </w:rPr>
        <w:t xml:space="preserve"> </w:t>
      </w:r>
      <w:r>
        <w:rPr>
          <w:szCs w:val="22"/>
        </w:rPr>
        <w:t xml:space="preserve">25 September </w:t>
      </w:r>
      <w:r w:rsidRPr="00B34608">
        <w:rPr>
          <w:szCs w:val="22"/>
        </w:rPr>
        <w:t xml:space="preserve">2017. </w:t>
      </w:r>
      <w:r>
        <w:rPr>
          <w:szCs w:val="22"/>
        </w:rPr>
        <w:t>The insurance compensations amounted to EUR</w:t>
      </w:r>
      <w:r w:rsidRPr="00B34608">
        <w:rPr>
          <w:szCs w:val="22"/>
        </w:rPr>
        <w:t xml:space="preserve"> 1</w:t>
      </w:r>
      <w:r>
        <w:rPr>
          <w:szCs w:val="22"/>
        </w:rPr>
        <w:t>.</w:t>
      </w:r>
      <w:r w:rsidRPr="00B34608">
        <w:rPr>
          <w:szCs w:val="22"/>
        </w:rPr>
        <w:t xml:space="preserve">38 </w:t>
      </w:r>
      <w:r>
        <w:rPr>
          <w:szCs w:val="22"/>
        </w:rPr>
        <w:t>million</w:t>
      </w:r>
      <w:r w:rsidRPr="00B34608">
        <w:rPr>
          <w:szCs w:val="22"/>
        </w:rPr>
        <w:t xml:space="preserve">. </w:t>
      </w:r>
    </w:p>
    <w:p w:rsidR="00D2569B" w:rsidRPr="00B34608" w:rsidRDefault="00D2569B" w:rsidP="00896307">
      <w:pPr>
        <w:pStyle w:val="Sraopastraipa"/>
        <w:numPr>
          <w:ilvl w:val="1"/>
          <w:numId w:val="19"/>
        </w:numPr>
        <w:ind w:left="0" w:right="-1" w:firstLine="567"/>
        <w:jc w:val="both"/>
        <w:rPr>
          <w:szCs w:val="22"/>
        </w:rPr>
      </w:pPr>
      <w:r>
        <w:rPr>
          <w:szCs w:val="22"/>
          <w:u w:val="single"/>
        </w:rPr>
        <w:t xml:space="preserve">Bankruptcy of the Credit Union </w:t>
      </w:r>
      <w:r w:rsidRPr="00B34608">
        <w:rPr>
          <w:szCs w:val="22"/>
          <w:u w:val="single"/>
        </w:rPr>
        <w:t xml:space="preserve">Vilniaus </w:t>
      </w:r>
      <w:proofErr w:type="spellStart"/>
      <w:r w:rsidRPr="00B34608">
        <w:rPr>
          <w:szCs w:val="22"/>
          <w:u w:val="single"/>
        </w:rPr>
        <w:t>kreditas</w:t>
      </w:r>
      <w:proofErr w:type="spellEnd"/>
      <w:r w:rsidRPr="00B34608">
        <w:rPr>
          <w:szCs w:val="22"/>
          <w:u w:val="single"/>
        </w:rPr>
        <w:t xml:space="preserve">. </w:t>
      </w:r>
      <w:r w:rsidRPr="00587CA1">
        <w:rPr>
          <w:szCs w:val="22"/>
        </w:rPr>
        <w:t>T</w:t>
      </w:r>
      <w:r>
        <w:rPr>
          <w:szCs w:val="22"/>
        </w:rPr>
        <w:t>he insured event was declared on</w:t>
      </w:r>
      <w:r w:rsidRPr="00B34608">
        <w:rPr>
          <w:szCs w:val="22"/>
        </w:rPr>
        <w:t xml:space="preserve"> </w:t>
      </w:r>
      <w:r>
        <w:rPr>
          <w:szCs w:val="22"/>
        </w:rPr>
        <w:t xml:space="preserve">10 November </w:t>
      </w:r>
      <w:r w:rsidRPr="00B34608">
        <w:rPr>
          <w:szCs w:val="22"/>
        </w:rPr>
        <w:t xml:space="preserve">2017. </w:t>
      </w:r>
      <w:r>
        <w:rPr>
          <w:szCs w:val="22"/>
        </w:rPr>
        <w:t>The insurance compensations amounted to EUR</w:t>
      </w:r>
      <w:r w:rsidRPr="00B34608">
        <w:rPr>
          <w:szCs w:val="22"/>
        </w:rPr>
        <w:t xml:space="preserve"> 20</w:t>
      </w:r>
      <w:r>
        <w:rPr>
          <w:szCs w:val="22"/>
        </w:rPr>
        <w:t>.</w:t>
      </w:r>
      <w:r w:rsidRPr="00B34608">
        <w:rPr>
          <w:szCs w:val="22"/>
        </w:rPr>
        <w:t xml:space="preserve">36 </w:t>
      </w:r>
      <w:r>
        <w:rPr>
          <w:szCs w:val="22"/>
        </w:rPr>
        <w:t>million</w:t>
      </w:r>
      <w:r w:rsidRPr="00B34608">
        <w:rPr>
          <w:szCs w:val="22"/>
        </w:rPr>
        <w:t>.</w:t>
      </w:r>
      <w:bookmarkStart w:id="27" w:name="_Hlk505177122"/>
      <w:r w:rsidRPr="00B34608">
        <w:rPr>
          <w:szCs w:val="22"/>
        </w:rPr>
        <w:t xml:space="preserve"> </w:t>
      </w:r>
      <w:bookmarkEnd w:id="27"/>
    </w:p>
    <w:p w:rsidR="00D2569B" w:rsidRPr="00B34608" w:rsidRDefault="00D2569B" w:rsidP="00302E10">
      <w:pPr>
        <w:ind w:left="568" w:right="-1"/>
        <w:jc w:val="both"/>
        <w:rPr>
          <w:szCs w:val="22"/>
        </w:rPr>
      </w:pPr>
    </w:p>
    <w:p w:rsidR="00D2569B" w:rsidRPr="00B34608" w:rsidRDefault="00D2569B" w:rsidP="000F5FC1">
      <w:pPr>
        <w:pStyle w:val="Sraopastraipa"/>
        <w:ind w:left="0" w:right="-1"/>
        <w:jc w:val="both"/>
        <w:rPr>
          <w:sz w:val="24"/>
          <w:szCs w:val="24"/>
        </w:rPr>
      </w:pPr>
    </w:p>
    <w:p w:rsidR="00D2569B" w:rsidRPr="00B34608" w:rsidRDefault="00D2569B" w:rsidP="00F3667D">
      <w:pPr>
        <w:pStyle w:val="Sraopastraipa"/>
        <w:tabs>
          <w:tab w:val="left" w:pos="1560"/>
        </w:tabs>
        <w:ind w:left="0" w:right="-1"/>
        <w:jc w:val="both"/>
        <w:rPr>
          <w:i/>
          <w:szCs w:val="22"/>
        </w:rPr>
      </w:pPr>
      <w:r>
        <w:rPr>
          <w:i/>
          <w:szCs w:val="22"/>
        </w:rPr>
        <w:t xml:space="preserve">Table </w:t>
      </w:r>
      <w:r w:rsidRPr="00B34608">
        <w:rPr>
          <w:i/>
          <w:szCs w:val="22"/>
        </w:rPr>
        <w:t>1</w:t>
      </w:r>
      <w:r w:rsidRPr="00B34608">
        <w:rPr>
          <w:szCs w:val="22"/>
        </w:rPr>
        <w:t xml:space="preserve">. </w:t>
      </w:r>
      <w:r>
        <w:rPr>
          <w:i/>
          <w:szCs w:val="22"/>
        </w:rPr>
        <w:t>Cash receipts to the Fund from realisation of assets of bankrupt credit institutions forecasted by bankruptcy administrators and additionally estimated by the Company</w:t>
      </w:r>
      <w:r w:rsidRPr="00B34608">
        <w:rPr>
          <w:i/>
          <w:szCs w:val="22"/>
        </w:rPr>
        <w:t xml:space="preserve">, </w:t>
      </w:r>
      <w:r>
        <w:rPr>
          <w:i/>
          <w:szCs w:val="22"/>
        </w:rPr>
        <w:t>in EUR</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1701"/>
        <w:gridCol w:w="1985"/>
        <w:gridCol w:w="2268"/>
      </w:tblGrid>
      <w:tr w:rsidR="00D2569B" w:rsidRPr="00B34608" w:rsidTr="007B5470">
        <w:tc>
          <w:tcPr>
            <w:tcW w:w="709" w:type="dxa"/>
          </w:tcPr>
          <w:p w:rsidR="00D2569B" w:rsidRPr="00B34608" w:rsidRDefault="00D2569B" w:rsidP="009551B0">
            <w:pPr>
              <w:jc w:val="center"/>
              <w:rPr>
                <w:b/>
                <w:sz w:val="20"/>
              </w:rPr>
            </w:pPr>
            <w:r>
              <w:rPr>
                <w:b/>
                <w:sz w:val="20"/>
              </w:rPr>
              <w:t>Seq. No</w:t>
            </w:r>
          </w:p>
        </w:tc>
        <w:tc>
          <w:tcPr>
            <w:tcW w:w="2835" w:type="dxa"/>
          </w:tcPr>
          <w:p w:rsidR="00D2569B" w:rsidRPr="00B34608" w:rsidRDefault="00D2569B" w:rsidP="009551B0">
            <w:pPr>
              <w:jc w:val="center"/>
              <w:rPr>
                <w:b/>
                <w:sz w:val="20"/>
              </w:rPr>
            </w:pPr>
            <w:r>
              <w:rPr>
                <w:b/>
                <w:sz w:val="20"/>
              </w:rPr>
              <w:t>Credit institution</w:t>
            </w:r>
          </w:p>
        </w:tc>
        <w:tc>
          <w:tcPr>
            <w:tcW w:w="1701" w:type="dxa"/>
          </w:tcPr>
          <w:p w:rsidR="00D2569B" w:rsidRPr="00B34608" w:rsidRDefault="00D2569B" w:rsidP="009551B0">
            <w:pPr>
              <w:jc w:val="center"/>
              <w:rPr>
                <w:b/>
                <w:sz w:val="20"/>
              </w:rPr>
            </w:pPr>
            <w:r>
              <w:rPr>
                <w:b/>
                <w:sz w:val="20"/>
              </w:rPr>
              <w:t xml:space="preserve">Amounts receivable after one year </w:t>
            </w:r>
          </w:p>
        </w:tc>
        <w:tc>
          <w:tcPr>
            <w:tcW w:w="1985" w:type="dxa"/>
          </w:tcPr>
          <w:p w:rsidR="00D2569B" w:rsidRPr="00B34608" w:rsidRDefault="00D2569B" w:rsidP="009551B0">
            <w:pPr>
              <w:jc w:val="center"/>
              <w:rPr>
                <w:b/>
                <w:sz w:val="20"/>
              </w:rPr>
            </w:pPr>
            <w:r>
              <w:rPr>
                <w:b/>
                <w:sz w:val="20"/>
              </w:rPr>
              <w:t>Amounts receivable within one year</w:t>
            </w:r>
          </w:p>
        </w:tc>
        <w:tc>
          <w:tcPr>
            <w:tcW w:w="2268" w:type="dxa"/>
          </w:tcPr>
          <w:p w:rsidR="00D2569B" w:rsidRPr="00B34608" w:rsidRDefault="00D2569B" w:rsidP="009551B0">
            <w:pPr>
              <w:jc w:val="center"/>
              <w:rPr>
                <w:b/>
                <w:sz w:val="20"/>
              </w:rPr>
            </w:pPr>
            <w:r>
              <w:rPr>
                <w:b/>
                <w:sz w:val="20"/>
              </w:rPr>
              <w:t>Total, EUR</w:t>
            </w:r>
            <w:r w:rsidRPr="00B34608">
              <w:rPr>
                <w:b/>
                <w:sz w:val="20"/>
              </w:rPr>
              <w:t>:</w:t>
            </w:r>
          </w:p>
        </w:tc>
      </w:tr>
      <w:tr w:rsidR="00D2569B" w:rsidRPr="00B34608" w:rsidTr="00DC37A9">
        <w:trPr>
          <w:trHeight w:val="271"/>
        </w:trPr>
        <w:tc>
          <w:tcPr>
            <w:tcW w:w="709" w:type="dxa"/>
            <w:vAlign w:val="bottom"/>
          </w:tcPr>
          <w:p w:rsidR="00D2569B" w:rsidRPr="00B34608" w:rsidRDefault="00D2569B" w:rsidP="00DC37A9">
            <w:pPr>
              <w:jc w:val="center"/>
              <w:rPr>
                <w:sz w:val="20"/>
              </w:rPr>
            </w:pPr>
            <w:r w:rsidRPr="00B34608">
              <w:rPr>
                <w:sz w:val="20"/>
              </w:rPr>
              <w:t>1</w:t>
            </w:r>
          </w:p>
        </w:tc>
        <w:tc>
          <w:tcPr>
            <w:tcW w:w="2835" w:type="dxa"/>
            <w:vAlign w:val="bottom"/>
          </w:tcPr>
          <w:p w:rsidR="00D2569B" w:rsidRPr="00B34608" w:rsidRDefault="00D2569B" w:rsidP="00DC37A9">
            <w:pPr>
              <w:jc w:val="center"/>
              <w:rPr>
                <w:sz w:val="20"/>
              </w:rPr>
            </w:pPr>
            <w:r w:rsidRPr="00B34608">
              <w:rPr>
                <w:sz w:val="20"/>
              </w:rPr>
              <w:t>2</w:t>
            </w:r>
          </w:p>
        </w:tc>
        <w:tc>
          <w:tcPr>
            <w:tcW w:w="1701" w:type="dxa"/>
            <w:vAlign w:val="bottom"/>
          </w:tcPr>
          <w:p w:rsidR="00D2569B" w:rsidRPr="00B34608" w:rsidRDefault="00D2569B" w:rsidP="00DC37A9">
            <w:pPr>
              <w:jc w:val="center"/>
              <w:rPr>
                <w:sz w:val="20"/>
              </w:rPr>
            </w:pPr>
            <w:r w:rsidRPr="00B34608">
              <w:rPr>
                <w:sz w:val="20"/>
              </w:rPr>
              <w:t>3</w:t>
            </w:r>
          </w:p>
        </w:tc>
        <w:tc>
          <w:tcPr>
            <w:tcW w:w="1985" w:type="dxa"/>
            <w:vAlign w:val="bottom"/>
          </w:tcPr>
          <w:p w:rsidR="00D2569B" w:rsidRPr="00B34608" w:rsidRDefault="00D2569B" w:rsidP="00DC37A9">
            <w:pPr>
              <w:jc w:val="center"/>
              <w:rPr>
                <w:sz w:val="20"/>
              </w:rPr>
            </w:pPr>
            <w:r w:rsidRPr="00B34608">
              <w:rPr>
                <w:sz w:val="20"/>
              </w:rPr>
              <w:t>4</w:t>
            </w:r>
          </w:p>
        </w:tc>
        <w:tc>
          <w:tcPr>
            <w:tcW w:w="2268" w:type="dxa"/>
            <w:vAlign w:val="bottom"/>
          </w:tcPr>
          <w:p w:rsidR="00D2569B" w:rsidRPr="00B34608" w:rsidRDefault="00D2569B" w:rsidP="00DC37A9">
            <w:pPr>
              <w:jc w:val="center"/>
              <w:rPr>
                <w:sz w:val="20"/>
              </w:rPr>
            </w:pPr>
            <w:r w:rsidRPr="00B34608">
              <w:rPr>
                <w:sz w:val="20"/>
              </w:rPr>
              <w:t>5</w:t>
            </w:r>
          </w:p>
        </w:tc>
      </w:tr>
      <w:tr w:rsidR="00D2569B" w:rsidRPr="00B34608" w:rsidTr="00DC37A9">
        <w:trPr>
          <w:trHeight w:val="271"/>
        </w:trPr>
        <w:tc>
          <w:tcPr>
            <w:tcW w:w="709" w:type="dxa"/>
            <w:vAlign w:val="bottom"/>
          </w:tcPr>
          <w:p w:rsidR="00D2569B" w:rsidRPr="00B34608" w:rsidRDefault="00D2569B" w:rsidP="00DC37A9">
            <w:pPr>
              <w:rPr>
                <w:sz w:val="20"/>
              </w:rPr>
            </w:pPr>
            <w:r w:rsidRPr="00B34608">
              <w:rPr>
                <w:sz w:val="20"/>
              </w:rPr>
              <w:t>1.</w:t>
            </w:r>
          </w:p>
        </w:tc>
        <w:tc>
          <w:tcPr>
            <w:tcW w:w="2835" w:type="dxa"/>
            <w:vAlign w:val="bottom"/>
          </w:tcPr>
          <w:p w:rsidR="00D2569B" w:rsidRPr="00B34608" w:rsidRDefault="00D2569B" w:rsidP="00713747">
            <w:pPr>
              <w:rPr>
                <w:sz w:val="20"/>
              </w:rPr>
            </w:pPr>
            <w:r w:rsidRPr="00B34608">
              <w:rPr>
                <w:sz w:val="20"/>
              </w:rPr>
              <w:t xml:space="preserve">BAB </w:t>
            </w:r>
            <w:proofErr w:type="spellStart"/>
            <w:r w:rsidRPr="00B34608">
              <w:rPr>
                <w:sz w:val="20"/>
              </w:rPr>
              <w:t>bankas</w:t>
            </w:r>
            <w:proofErr w:type="spellEnd"/>
            <w:r w:rsidRPr="00B34608">
              <w:rPr>
                <w:sz w:val="20"/>
              </w:rPr>
              <w:t xml:space="preserve"> SNORAS</w:t>
            </w:r>
          </w:p>
        </w:tc>
        <w:tc>
          <w:tcPr>
            <w:tcW w:w="1701" w:type="dxa"/>
            <w:vAlign w:val="bottom"/>
          </w:tcPr>
          <w:p w:rsidR="00D2569B" w:rsidRPr="00B34608" w:rsidRDefault="00D2569B" w:rsidP="00713747">
            <w:pPr>
              <w:jc w:val="right"/>
              <w:rPr>
                <w:sz w:val="20"/>
              </w:rPr>
            </w:pPr>
            <w:r w:rsidRPr="00B34608">
              <w:rPr>
                <w:sz w:val="20"/>
              </w:rPr>
              <w:t>115</w:t>
            </w:r>
            <w:r>
              <w:rPr>
                <w:sz w:val="20"/>
              </w:rPr>
              <w:t>,</w:t>
            </w:r>
            <w:r w:rsidRPr="00B34608">
              <w:rPr>
                <w:sz w:val="20"/>
              </w:rPr>
              <w:t>851</w:t>
            </w:r>
            <w:r>
              <w:rPr>
                <w:sz w:val="20"/>
              </w:rPr>
              <w:t>,</w:t>
            </w:r>
            <w:r w:rsidRPr="00B34608">
              <w:rPr>
                <w:sz w:val="20"/>
              </w:rPr>
              <w:t>600</w:t>
            </w:r>
          </w:p>
        </w:tc>
        <w:tc>
          <w:tcPr>
            <w:tcW w:w="1985" w:type="dxa"/>
            <w:vAlign w:val="bottom"/>
          </w:tcPr>
          <w:p w:rsidR="00D2569B" w:rsidRPr="00B34608" w:rsidRDefault="00D2569B" w:rsidP="00713747">
            <w:pPr>
              <w:jc w:val="right"/>
              <w:rPr>
                <w:sz w:val="20"/>
              </w:rPr>
            </w:pPr>
            <w:r>
              <w:rPr>
                <w:sz w:val="20"/>
              </w:rPr>
              <w:t>9,</w:t>
            </w:r>
            <w:r w:rsidRPr="00B34608">
              <w:rPr>
                <w:sz w:val="20"/>
              </w:rPr>
              <w:t>720</w:t>
            </w:r>
            <w:r>
              <w:rPr>
                <w:sz w:val="20"/>
              </w:rPr>
              <w:t>,</w:t>
            </w:r>
            <w:r w:rsidRPr="00B34608">
              <w:rPr>
                <w:sz w:val="20"/>
              </w:rPr>
              <w:t>000</w:t>
            </w:r>
          </w:p>
        </w:tc>
        <w:tc>
          <w:tcPr>
            <w:tcW w:w="2268" w:type="dxa"/>
            <w:vAlign w:val="bottom"/>
          </w:tcPr>
          <w:p w:rsidR="00D2569B" w:rsidRPr="00B34608" w:rsidRDefault="00D2569B" w:rsidP="00713747">
            <w:pPr>
              <w:jc w:val="right"/>
              <w:rPr>
                <w:b/>
                <w:sz w:val="20"/>
              </w:rPr>
            </w:pPr>
            <w:r>
              <w:rPr>
                <w:b/>
                <w:sz w:val="20"/>
              </w:rPr>
              <w:t>125,</w:t>
            </w:r>
            <w:r w:rsidRPr="00B34608">
              <w:rPr>
                <w:b/>
                <w:sz w:val="20"/>
              </w:rPr>
              <w:t>571</w:t>
            </w:r>
            <w:r>
              <w:rPr>
                <w:b/>
                <w:sz w:val="20"/>
              </w:rPr>
              <w:t>,</w:t>
            </w:r>
            <w:r w:rsidRPr="00B34608">
              <w:rPr>
                <w:b/>
                <w:sz w:val="20"/>
              </w:rPr>
              <w:t>600</w:t>
            </w:r>
          </w:p>
        </w:tc>
      </w:tr>
      <w:tr w:rsidR="00D2569B" w:rsidRPr="00B34608" w:rsidTr="00DC37A9">
        <w:trPr>
          <w:trHeight w:val="317"/>
        </w:trPr>
        <w:tc>
          <w:tcPr>
            <w:tcW w:w="709" w:type="dxa"/>
            <w:vAlign w:val="bottom"/>
          </w:tcPr>
          <w:p w:rsidR="00D2569B" w:rsidRPr="00B34608" w:rsidRDefault="00D2569B" w:rsidP="00DC37A9">
            <w:pPr>
              <w:rPr>
                <w:sz w:val="20"/>
              </w:rPr>
            </w:pPr>
            <w:r w:rsidRPr="00B34608">
              <w:rPr>
                <w:sz w:val="20"/>
              </w:rPr>
              <w:t>2.</w:t>
            </w:r>
          </w:p>
        </w:tc>
        <w:tc>
          <w:tcPr>
            <w:tcW w:w="2835" w:type="dxa"/>
            <w:vAlign w:val="bottom"/>
          </w:tcPr>
          <w:p w:rsidR="00D2569B" w:rsidRPr="00B34608" w:rsidRDefault="00D2569B" w:rsidP="00713747">
            <w:pPr>
              <w:rPr>
                <w:sz w:val="20"/>
              </w:rPr>
            </w:pPr>
            <w:r w:rsidRPr="00B34608">
              <w:rPr>
                <w:sz w:val="20"/>
              </w:rPr>
              <w:t xml:space="preserve">BAB </w:t>
            </w:r>
            <w:proofErr w:type="spellStart"/>
            <w:r w:rsidRPr="00B34608">
              <w:rPr>
                <w:sz w:val="20"/>
              </w:rPr>
              <w:t>Ūkio</w:t>
            </w:r>
            <w:proofErr w:type="spellEnd"/>
            <w:r w:rsidRPr="00B34608">
              <w:rPr>
                <w:sz w:val="20"/>
              </w:rPr>
              <w:t xml:space="preserve"> </w:t>
            </w:r>
            <w:proofErr w:type="spellStart"/>
            <w:r w:rsidRPr="00B34608">
              <w:rPr>
                <w:sz w:val="20"/>
              </w:rPr>
              <w:t>bankas</w:t>
            </w:r>
            <w:proofErr w:type="spellEnd"/>
          </w:p>
        </w:tc>
        <w:tc>
          <w:tcPr>
            <w:tcW w:w="1701" w:type="dxa"/>
            <w:vAlign w:val="bottom"/>
          </w:tcPr>
          <w:p w:rsidR="00D2569B" w:rsidRPr="00B34608" w:rsidRDefault="00D2569B" w:rsidP="00713747">
            <w:pPr>
              <w:jc w:val="right"/>
              <w:rPr>
                <w:sz w:val="20"/>
              </w:rPr>
            </w:pPr>
            <w:r>
              <w:rPr>
                <w:sz w:val="20"/>
              </w:rPr>
              <w:t>6,667,</w:t>
            </w:r>
            <w:r w:rsidRPr="00B34608">
              <w:rPr>
                <w:sz w:val="20"/>
              </w:rPr>
              <w:t>200</w:t>
            </w:r>
          </w:p>
        </w:tc>
        <w:tc>
          <w:tcPr>
            <w:tcW w:w="1985" w:type="dxa"/>
            <w:vAlign w:val="bottom"/>
          </w:tcPr>
          <w:p w:rsidR="00D2569B" w:rsidRPr="00B34608" w:rsidRDefault="00D2569B" w:rsidP="00713747">
            <w:pPr>
              <w:jc w:val="right"/>
              <w:rPr>
                <w:sz w:val="20"/>
              </w:rPr>
            </w:pPr>
            <w:r>
              <w:rPr>
                <w:sz w:val="20"/>
              </w:rPr>
              <w:t>990,</w:t>
            </w:r>
            <w:r w:rsidRPr="00B34608">
              <w:rPr>
                <w:sz w:val="20"/>
              </w:rPr>
              <w:t>000</w:t>
            </w:r>
          </w:p>
        </w:tc>
        <w:tc>
          <w:tcPr>
            <w:tcW w:w="2268" w:type="dxa"/>
            <w:vAlign w:val="bottom"/>
          </w:tcPr>
          <w:p w:rsidR="00D2569B" w:rsidRPr="00B34608" w:rsidRDefault="00D2569B" w:rsidP="00713747">
            <w:pPr>
              <w:jc w:val="right"/>
              <w:rPr>
                <w:b/>
                <w:sz w:val="20"/>
              </w:rPr>
            </w:pPr>
            <w:r>
              <w:rPr>
                <w:b/>
                <w:sz w:val="20"/>
              </w:rPr>
              <w:t>7,657,</w:t>
            </w:r>
            <w:r w:rsidRPr="00B34608">
              <w:rPr>
                <w:b/>
                <w:sz w:val="20"/>
              </w:rPr>
              <w:t>200</w:t>
            </w:r>
          </w:p>
        </w:tc>
      </w:tr>
      <w:tr w:rsidR="00D2569B" w:rsidRPr="00B34608" w:rsidTr="00DC37A9">
        <w:trPr>
          <w:trHeight w:val="279"/>
        </w:trPr>
        <w:tc>
          <w:tcPr>
            <w:tcW w:w="709" w:type="dxa"/>
            <w:vAlign w:val="bottom"/>
          </w:tcPr>
          <w:p w:rsidR="00D2569B" w:rsidRPr="00B34608" w:rsidRDefault="00D2569B" w:rsidP="00DC37A9">
            <w:pPr>
              <w:rPr>
                <w:sz w:val="20"/>
              </w:rPr>
            </w:pPr>
            <w:r w:rsidRPr="00B34608">
              <w:rPr>
                <w:sz w:val="20"/>
              </w:rPr>
              <w:t>3.</w:t>
            </w:r>
          </w:p>
        </w:tc>
        <w:tc>
          <w:tcPr>
            <w:tcW w:w="2835" w:type="dxa"/>
            <w:vAlign w:val="bottom"/>
          </w:tcPr>
          <w:p w:rsidR="00D2569B" w:rsidRPr="00B34608" w:rsidRDefault="00D2569B" w:rsidP="00713747">
            <w:pPr>
              <w:rPr>
                <w:sz w:val="20"/>
              </w:rPr>
            </w:pPr>
            <w:r w:rsidRPr="00B34608">
              <w:rPr>
                <w:sz w:val="20"/>
              </w:rPr>
              <w:t>B</w:t>
            </w:r>
            <w:r>
              <w:rPr>
                <w:sz w:val="20"/>
              </w:rPr>
              <w:t>CC</w:t>
            </w:r>
            <w:r w:rsidRPr="00B34608">
              <w:rPr>
                <w:sz w:val="20"/>
              </w:rPr>
              <w:t xml:space="preserve"> </w:t>
            </w:r>
            <w:r>
              <w:rPr>
                <w:sz w:val="20"/>
              </w:rPr>
              <w:t>C</w:t>
            </w:r>
            <w:r w:rsidRPr="00B34608">
              <w:rPr>
                <w:sz w:val="20"/>
              </w:rPr>
              <w:t xml:space="preserve">U Vilniaus </w:t>
            </w:r>
            <w:proofErr w:type="spellStart"/>
            <w:r w:rsidRPr="00B34608">
              <w:rPr>
                <w:sz w:val="20"/>
              </w:rPr>
              <w:t>taupomoji</w:t>
            </w:r>
            <w:proofErr w:type="spellEnd"/>
            <w:r w:rsidRPr="00B34608">
              <w:rPr>
                <w:sz w:val="20"/>
              </w:rPr>
              <w:t xml:space="preserve"> </w:t>
            </w:r>
            <w:proofErr w:type="spellStart"/>
            <w:r w:rsidRPr="00B34608">
              <w:rPr>
                <w:sz w:val="20"/>
              </w:rPr>
              <w:t>kasa</w:t>
            </w:r>
            <w:proofErr w:type="spellEnd"/>
          </w:p>
        </w:tc>
        <w:tc>
          <w:tcPr>
            <w:tcW w:w="1701" w:type="dxa"/>
            <w:vAlign w:val="bottom"/>
          </w:tcPr>
          <w:p w:rsidR="00D2569B" w:rsidRPr="00B34608" w:rsidRDefault="00D2569B" w:rsidP="00713747">
            <w:pPr>
              <w:jc w:val="right"/>
              <w:rPr>
                <w:sz w:val="20"/>
              </w:rPr>
            </w:pPr>
          </w:p>
        </w:tc>
        <w:tc>
          <w:tcPr>
            <w:tcW w:w="1985" w:type="dxa"/>
            <w:vAlign w:val="bottom"/>
          </w:tcPr>
          <w:p w:rsidR="00D2569B" w:rsidRPr="00B34608" w:rsidRDefault="00D2569B" w:rsidP="00713747">
            <w:pPr>
              <w:jc w:val="right"/>
              <w:rPr>
                <w:sz w:val="20"/>
              </w:rPr>
            </w:pPr>
            <w:r>
              <w:rPr>
                <w:sz w:val="20"/>
              </w:rPr>
              <w:t>8,415,</w:t>
            </w:r>
            <w:r w:rsidRPr="00B34608">
              <w:rPr>
                <w:sz w:val="20"/>
              </w:rPr>
              <w:t>000</w:t>
            </w:r>
          </w:p>
        </w:tc>
        <w:tc>
          <w:tcPr>
            <w:tcW w:w="2268" w:type="dxa"/>
            <w:vAlign w:val="bottom"/>
          </w:tcPr>
          <w:p w:rsidR="00D2569B" w:rsidRPr="00B34608" w:rsidRDefault="00D2569B" w:rsidP="00713747">
            <w:pPr>
              <w:jc w:val="right"/>
              <w:rPr>
                <w:b/>
                <w:sz w:val="20"/>
              </w:rPr>
            </w:pPr>
            <w:r>
              <w:rPr>
                <w:b/>
                <w:sz w:val="20"/>
              </w:rPr>
              <w:t>8,</w:t>
            </w:r>
            <w:r w:rsidRPr="00B34608">
              <w:rPr>
                <w:b/>
                <w:sz w:val="20"/>
              </w:rPr>
              <w:t>415</w:t>
            </w:r>
            <w:r>
              <w:rPr>
                <w:b/>
                <w:sz w:val="20"/>
              </w:rPr>
              <w:t>,</w:t>
            </w:r>
            <w:r w:rsidRPr="00B34608">
              <w:rPr>
                <w:b/>
                <w:sz w:val="20"/>
              </w:rPr>
              <w:t>000</w:t>
            </w:r>
          </w:p>
        </w:tc>
      </w:tr>
      <w:tr w:rsidR="00D2569B" w:rsidRPr="00B34608" w:rsidTr="00DC37A9">
        <w:tc>
          <w:tcPr>
            <w:tcW w:w="709" w:type="dxa"/>
            <w:vAlign w:val="bottom"/>
          </w:tcPr>
          <w:p w:rsidR="00D2569B" w:rsidRPr="00B34608" w:rsidRDefault="00D2569B" w:rsidP="00DC37A9">
            <w:pPr>
              <w:rPr>
                <w:sz w:val="20"/>
              </w:rPr>
            </w:pPr>
            <w:r w:rsidRPr="00B34608">
              <w:rPr>
                <w:sz w:val="20"/>
              </w:rPr>
              <w:t>4.</w:t>
            </w:r>
          </w:p>
        </w:tc>
        <w:tc>
          <w:tcPr>
            <w:tcW w:w="2835" w:type="dxa"/>
            <w:vAlign w:val="bottom"/>
          </w:tcPr>
          <w:p w:rsidR="00D2569B" w:rsidRPr="00B34608" w:rsidRDefault="00D2569B" w:rsidP="00713747">
            <w:pPr>
              <w:rPr>
                <w:sz w:val="20"/>
              </w:rPr>
            </w:pPr>
            <w:r w:rsidRPr="00B34608">
              <w:rPr>
                <w:sz w:val="20"/>
              </w:rPr>
              <w:t>B</w:t>
            </w:r>
            <w:r>
              <w:rPr>
                <w:sz w:val="20"/>
              </w:rPr>
              <w:t>CC</w:t>
            </w:r>
            <w:r w:rsidRPr="00B34608">
              <w:rPr>
                <w:sz w:val="20"/>
              </w:rPr>
              <w:t xml:space="preserve"> </w:t>
            </w:r>
            <w:proofErr w:type="spellStart"/>
            <w:r w:rsidRPr="00B34608">
              <w:rPr>
                <w:sz w:val="20"/>
              </w:rPr>
              <w:t>Nacionalinė</w:t>
            </w:r>
            <w:proofErr w:type="spellEnd"/>
            <w:r w:rsidRPr="00B34608">
              <w:rPr>
                <w:sz w:val="20"/>
              </w:rPr>
              <w:t xml:space="preserve"> </w:t>
            </w:r>
            <w:proofErr w:type="spellStart"/>
            <w:r w:rsidRPr="00B34608">
              <w:rPr>
                <w:sz w:val="20"/>
              </w:rPr>
              <w:t>kredito</w:t>
            </w:r>
            <w:proofErr w:type="spellEnd"/>
            <w:r w:rsidRPr="00B34608">
              <w:rPr>
                <w:sz w:val="20"/>
              </w:rPr>
              <w:t xml:space="preserve"> </w:t>
            </w:r>
            <w:proofErr w:type="spellStart"/>
            <w:r w:rsidRPr="00B34608">
              <w:rPr>
                <w:sz w:val="20"/>
              </w:rPr>
              <w:t>unija</w:t>
            </w:r>
            <w:proofErr w:type="spellEnd"/>
          </w:p>
        </w:tc>
        <w:tc>
          <w:tcPr>
            <w:tcW w:w="1701" w:type="dxa"/>
            <w:vAlign w:val="bottom"/>
          </w:tcPr>
          <w:p w:rsidR="00D2569B" w:rsidRPr="00B34608" w:rsidRDefault="00D2569B" w:rsidP="00713747">
            <w:pPr>
              <w:jc w:val="right"/>
              <w:rPr>
                <w:sz w:val="20"/>
              </w:rPr>
            </w:pPr>
          </w:p>
        </w:tc>
        <w:tc>
          <w:tcPr>
            <w:tcW w:w="1985" w:type="dxa"/>
            <w:vAlign w:val="bottom"/>
          </w:tcPr>
          <w:p w:rsidR="00D2569B" w:rsidRPr="00B34608" w:rsidRDefault="00D2569B" w:rsidP="00713747">
            <w:pPr>
              <w:jc w:val="right"/>
              <w:rPr>
                <w:sz w:val="20"/>
              </w:rPr>
            </w:pPr>
            <w:r w:rsidRPr="00B34608">
              <w:rPr>
                <w:sz w:val="20"/>
              </w:rPr>
              <w:t>711</w:t>
            </w:r>
            <w:r>
              <w:rPr>
                <w:sz w:val="20"/>
              </w:rPr>
              <w:t>,</w:t>
            </w:r>
            <w:r w:rsidRPr="00B34608">
              <w:rPr>
                <w:sz w:val="20"/>
              </w:rPr>
              <w:t>000</w:t>
            </w:r>
          </w:p>
        </w:tc>
        <w:tc>
          <w:tcPr>
            <w:tcW w:w="2268" w:type="dxa"/>
            <w:vAlign w:val="bottom"/>
          </w:tcPr>
          <w:p w:rsidR="00D2569B" w:rsidRPr="00B34608" w:rsidRDefault="00D2569B" w:rsidP="00713747">
            <w:pPr>
              <w:jc w:val="right"/>
              <w:rPr>
                <w:b/>
                <w:sz w:val="20"/>
              </w:rPr>
            </w:pPr>
            <w:r>
              <w:rPr>
                <w:b/>
                <w:sz w:val="20"/>
              </w:rPr>
              <w:t>711,</w:t>
            </w:r>
            <w:r w:rsidRPr="00B34608">
              <w:rPr>
                <w:b/>
                <w:sz w:val="20"/>
              </w:rPr>
              <w:t>000</w:t>
            </w:r>
          </w:p>
        </w:tc>
      </w:tr>
      <w:tr w:rsidR="00D2569B" w:rsidRPr="00B34608" w:rsidTr="00DC37A9">
        <w:tc>
          <w:tcPr>
            <w:tcW w:w="709" w:type="dxa"/>
            <w:vAlign w:val="bottom"/>
          </w:tcPr>
          <w:p w:rsidR="00D2569B" w:rsidRPr="00B34608" w:rsidRDefault="00D2569B" w:rsidP="00DC37A9">
            <w:pPr>
              <w:rPr>
                <w:sz w:val="20"/>
              </w:rPr>
            </w:pPr>
            <w:r w:rsidRPr="00B34608">
              <w:rPr>
                <w:sz w:val="20"/>
              </w:rPr>
              <w:t>5.</w:t>
            </w:r>
          </w:p>
        </w:tc>
        <w:tc>
          <w:tcPr>
            <w:tcW w:w="2835" w:type="dxa"/>
            <w:vAlign w:val="bottom"/>
          </w:tcPr>
          <w:p w:rsidR="00D2569B" w:rsidRPr="00B34608" w:rsidRDefault="00D2569B" w:rsidP="00713747">
            <w:pPr>
              <w:rPr>
                <w:sz w:val="20"/>
              </w:rPr>
            </w:pPr>
            <w:r>
              <w:rPr>
                <w:sz w:val="20"/>
              </w:rPr>
              <w:t>BCC C</w:t>
            </w:r>
            <w:r w:rsidRPr="00B34608">
              <w:rPr>
                <w:sz w:val="20"/>
              </w:rPr>
              <w:t xml:space="preserve">U </w:t>
            </w:r>
            <w:proofErr w:type="spellStart"/>
            <w:r w:rsidRPr="00B34608">
              <w:rPr>
                <w:sz w:val="20"/>
              </w:rPr>
              <w:t>Švyturio</w:t>
            </w:r>
            <w:proofErr w:type="spellEnd"/>
            <w:r w:rsidRPr="00B34608">
              <w:rPr>
                <w:sz w:val="20"/>
              </w:rPr>
              <w:t xml:space="preserve"> </w:t>
            </w:r>
            <w:proofErr w:type="spellStart"/>
            <w:r w:rsidRPr="00B34608">
              <w:rPr>
                <w:sz w:val="20"/>
              </w:rPr>
              <w:t>taupomoji</w:t>
            </w:r>
            <w:proofErr w:type="spellEnd"/>
            <w:r w:rsidRPr="00B34608">
              <w:rPr>
                <w:sz w:val="20"/>
              </w:rPr>
              <w:t xml:space="preserve"> </w:t>
            </w:r>
            <w:proofErr w:type="spellStart"/>
            <w:r w:rsidRPr="00B34608">
              <w:rPr>
                <w:sz w:val="20"/>
              </w:rPr>
              <w:t>kasa</w:t>
            </w:r>
            <w:proofErr w:type="spellEnd"/>
          </w:p>
        </w:tc>
        <w:tc>
          <w:tcPr>
            <w:tcW w:w="1701" w:type="dxa"/>
            <w:vAlign w:val="bottom"/>
          </w:tcPr>
          <w:p w:rsidR="00D2569B" w:rsidRPr="00B34608" w:rsidRDefault="00D2569B" w:rsidP="00713747">
            <w:pPr>
              <w:jc w:val="right"/>
              <w:rPr>
                <w:sz w:val="20"/>
              </w:rPr>
            </w:pPr>
          </w:p>
        </w:tc>
        <w:tc>
          <w:tcPr>
            <w:tcW w:w="1985" w:type="dxa"/>
            <w:vAlign w:val="bottom"/>
          </w:tcPr>
          <w:p w:rsidR="00D2569B" w:rsidRPr="00B34608" w:rsidRDefault="00D2569B" w:rsidP="00713747">
            <w:pPr>
              <w:jc w:val="right"/>
              <w:rPr>
                <w:sz w:val="20"/>
              </w:rPr>
            </w:pPr>
            <w:r>
              <w:rPr>
                <w:sz w:val="20"/>
              </w:rPr>
              <w:t>279,</w:t>
            </w:r>
            <w:r w:rsidRPr="00B34608">
              <w:rPr>
                <w:sz w:val="20"/>
              </w:rPr>
              <w:t>000</w:t>
            </w:r>
          </w:p>
        </w:tc>
        <w:tc>
          <w:tcPr>
            <w:tcW w:w="2268" w:type="dxa"/>
            <w:vAlign w:val="bottom"/>
          </w:tcPr>
          <w:p w:rsidR="00D2569B" w:rsidRPr="00B34608" w:rsidRDefault="00D2569B" w:rsidP="00713747">
            <w:pPr>
              <w:jc w:val="right"/>
              <w:rPr>
                <w:b/>
                <w:sz w:val="20"/>
              </w:rPr>
            </w:pPr>
            <w:r>
              <w:rPr>
                <w:b/>
                <w:sz w:val="20"/>
              </w:rPr>
              <w:t>279,</w:t>
            </w:r>
            <w:r w:rsidRPr="00B34608">
              <w:rPr>
                <w:b/>
                <w:sz w:val="20"/>
              </w:rPr>
              <w:t>000</w:t>
            </w:r>
          </w:p>
        </w:tc>
      </w:tr>
      <w:tr w:rsidR="00D2569B" w:rsidRPr="00B34608" w:rsidTr="00DC37A9">
        <w:tc>
          <w:tcPr>
            <w:tcW w:w="709" w:type="dxa"/>
            <w:vAlign w:val="bottom"/>
          </w:tcPr>
          <w:p w:rsidR="00D2569B" w:rsidRPr="00B34608" w:rsidRDefault="00D2569B" w:rsidP="00DC37A9">
            <w:pPr>
              <w:rPr>
                <w:sz w:val="20"/>
              </w:rPr>
            </w:pPr>
            <w:r w:rsidRPr="00B34608">
              <w:rPr>
                <w:sz w:val="20"/>
              </w:rPr>
              <w:t>6.</w:t>
            </w:r>
          </w:p>
        </w:tc>
        <w:tc>
          <w:tcPr>
            <w:tcW w:w="2835" w:type="dxa"/>
            <w:vAlign w:val="bottom"/>
          </w:tcPr>
          <w:p w:rsidR="00D2569B" w:rsidRPr="00B34608" w:rsidRDefault="00D2569B" w:rsidP="00713747">
            <w:pPr>
              <w:rPr>
                <w:sz w:val="20"/>
              </w:rPr>
            </w:pPr>
            <w:r w:rsidRPr="00B34608">
              <w:rPr>
                <w:sz w:val="20"/>
              </w:rPr>
              <w:t>B</w:t>
            </w:r>
            <w:r>
              <w:rPr>
                <w:sz w:val="20"/>
              </w:rPr>
              <w:t>C CU</w:t>
            </w:r>
            <w:r w:rsidRPr="00B34608">
              <w:rPr>
                <w:sz w:val="20"/>
              </w:rPr>
              <w:t xml:space="preserve"> </w:t>
            </w:r>
            <w:proofErr w:type="spellStart"/>
            <w:r w:rsidRPr="00B34608">
              <w:rPr>
                <w:sz w:val="20"/>
              </w:rPr>
              <w:t>Laikinosios</w:t>
            </w:r>
            <w:proofErr w:type="spellEnd"/>
            <w:r w:rsidRPr="00B34608">
              <w:rPr>
                <w:sz w:val="20"/>
              </w:rPr>
              <w:t xml:space="preserve"> </w:t>
            </w:r>
            <w:proofErr w:type="spellStart"/>
            <w:r w:rsidRPr="00B34608">
              <w:rPr>
                <w:sz w:val="20"/>
              </w:rPr>
              <w:t>sostinės</w:t>
            </w:r>
            <w:proofErr w:type="spellEnd"/>
            <w:r w:rsidRPr="00B34608">
              <w:rPr>
                <w:sz w:val="20"/>
              </w:rPr>
              <w:t xml:space="preserve"> </w:t>
            </w:r>
            <w:proofErr w:type="spellStart"/>
            <w:r w:rsidRPr="00B34608">
              <w:rPr>
                <w:sz w:val="20"/>
              </w:rPr>
              <w:t>kreditas</w:t>
            </w:r>
            <w:proofErr w:type="spellEnd"/>
          </w:p>
        </w:tc>
        <w:tc>
          <w:tcPr>
            <w:tcW w:w="1701" w:type="dxa"/>
            <w:vAlign w:val="bottom"/>
          </w:tcPr>
          <w:p w:rsidR="00D2569B" w:rsidRPr="00B34608" w:rsidRDefault="00D2569B" w:rsidP="00713747">
            <w:pPr>
              <w:jc w:val="right"/>
              <w:rPr>
                <w:sz w:val="20"/>
              </w:rPr>
            </w:pPr>
          </w:p>
        </w:tc>
        <w:tc>
          <w:tcPr>
            <w:tcW w:w="1985" w:type="dxa"/>
            <w:vAlign w:val="bottom"/>
          </w:tcPr>
          <w:p w:rsidR="00D2569B" w:rsidRPr="00B34608" w:rsidRDefault="00D2569B" w:rsidP="00713747">
            <w:pPr>
              <w:jc w:val="right"/>
              <w:rPr>
                <w:sz w:val="20"/>
              </w:rPr>
            </w:pPr>
            <w:r>
              <w:rPr>
                <w:sz w:val="20"/>
              </w:rPr>
              <w:t>90,</w:t>
            </w:r>
            <w:r w:rsidRPr="00B34608">
              <w:rPr>
                <w:sz w:val="20"/>
              </w:rPr>
              <w:t>000</w:t>
            </w:r>
          </w:p>
        </w:tc>
        <w:tc>
          <w:tcPr>
            <w:tcW w:w="2268" w:type="dxa"/>
            <w:vAlign w:val="bottom"/>
          </w:tcPr>
          <w:p w:rsidR="00D2569B" w:rsidRPr="00B34608" w:rsidRDefault="00D2569B" w:rsidP="00713747">
            <w:pPr>
              <w:jc w:val="right"/>
              <w:rPr>
                <w:b/>
                <w:sz w:val="20"/>
              </w:rPr>
            </w:pPr>
            <w:r>
              <w:rPr>
                <w:b/>
                <w:sz w:val="20"/>
              </w:rPr>
              <w:t>90,</w:t>
            </w:r>
            <w:r w:rsidRPr="00B34608">
              <w:rPr>
                <w:b/>
                <w:sz w:val="20"/>
              </w:rPr>
              <w:t>000</w:t>
            </w:r>
          </w:p>
        </w:tc>
      </w:tr>
      <w:tr w:rsidR="00D2569B" w:rsidRPr="00B34608" w:rsidTr="00DC37A9">
        <w:tc>
          <w:tcPr>
            <w:tcW w:w="709" w:type="dxa"/>
            <w:vAlign w:val="bottom"/>
          </w:tcPr>
          <w:p w:rsidR="00D2569B" w:rsidRPr="00B34608" w:rsidRDefault="00D2569B" w:rsidP="00DC37A9">
            <w:pPr>
              <w:rPr>
                <w:sz w:val="20"/>
              </w:rPr>
            </w:pPr>
            <w:r w:rsidRPr="00B34608">
              <w:rPr>
                <w:sz w:val="20"/>
              </w:rPr>
              <w:t>7.</w:t>
            </w:r>
          </w:p>
        </w:tc>
        <w:tc>
          <w:tcPr>
            <w:tcW w:w="2835" w:type="dxa"/>
            <w:vAlign w:val="bottom"/>
          </w:tcPr>
          <w:p w:rsidR="00D2569B" w:rsidRPr="00B34608" w:rsidRDefault="00D2569B" w:rsidP="00713747">
            <w:pPr>
              <w:rPr>
                <w:sz w:val="20"/>
              </w:rPr>
            </w:pPr>
            <w:r w:rsidRPr="00B34608">
              <w:rPr>
                <w:sz w:val="20"/>
              </w:rPr>
              <w:t>B</w:t>
            </w:r>
            <w:r>
              <w:rPr>
                <w:sz w:val="20"/>
              </w:rPr>
              <w:t>C</w:t>
            </w:r>
            <w:r w:rsidRPr="00B34608">
              <w:rPr>
                <w:sz w:val="20"/>
              </w:rPr>
              <w:t xml:space="preserve">U </w:t>
            </w:r>
            <w:proofErr w:type="spellStart"/>
            <w:r w:rsidRPr="00B34608">
              <w:rPr>
                <w:sz w:val="20"/>
              </w:rPr>
              <w:t>Naftininkų</w:t>
            </w:r>
            <w:proofErr w:type="spellEnd"/>
            <w:r w:rsidRPr="00B34608">
              <w:rPr>
                <w:sz w:val="20"/>
              </w:rPr>
              <w:t xml:space="preserve"> </w:t>
            </w:r>
            <w:proofErr w:type="spellStart"/>
            <w:r w:rsidRPr="00B34608">
              <w:rPr>
                <w:sz w:val="20"/>
              </w:rPr>
              <w:t>investicijos</w:t>
            </w:r>
            <w:proofErr w:type="spellEnd"/>
          </w:p>
        </w:tc>
        <w:tc>
          <w:tcPr>
            <w:tcW w:w="1701" w:type="dxa"/>
            <w:vAlign w:val="bottom"/>
          </w:tcPr>
          <w:p w:rsidR="00D2569B" w:rsidRPr="00B34608" w:rsidRDefault="00D2569B" w:rsidP="00713747">
            <w:pPr>
              <w:jc w:val="right"/>
              <w:rPr>
                <w:sz w:val="20"/>
              </w:rPr>
            </w:pPr>
          </w:p>
        </w:tc>
        <w:tc>
          <w:tcPr>
            <w:tcW w:w="1985" w:type="dxa"/>
            <w:vAlign w:val="bottom"/>
          </w:tcPr>
          <w:p w:rsidR="00D2569B" w:rsidRPr="00B34608" w:rsidRDefault="00D2569B" w:rsidP="00713747">
            <w:pPr>
              <w:jc w:val="right"/>
              <w:rPr>
                <w:sz w:val="20"/>
              </w:rPr>
            </w:pPr>
            <w:r>
              <w:rPr>
                <w:sz w:val="20"/>
              </w:rPr>
              <w:t>394,</w:t>
            </w:r>
            <w:r w:rsidRPr="00B34608">
              <w:rPr>
                <w:sz w:val="20"/>
              </w:rPr>
              <w:t>000</w:t>
            </w:r>
          </w:p>
        </w:tc>
        <w:tc>
          <w:tcPr>
            <w:tcW w:w="2268" w:type="dxa"/>
            <w:vAlign w:val="bottom"/>
          </w:tcPr>
          <w:p w:rsidR="00D2569B" w:rsidRPr="00B34608" w:rsidRDefault="00D2569B" w:rsidP="00713747">
            <w:pPr>
              <w:jc w:val="right"/>
              <w:rPr>
                <w:b/>
                <w:sz w:val="20"/>
              </w:rPr>
            </w:pPr>
            <w:r>
              <w:rPr>
                <w:b/>
                <w:sz w:val="20"/>
              </w:rPr>
              <w:t>394,</w:t>
            </w:r>
            <w:r w:rsidRPr="00B34608">
              <w:rPr>
                <w:b/>
                <w:sz w:val="20"/>
              </w:rPr>
              <w:t>000</w:t>
            </w:r>
          </w:p>
        </w:tc>
      </w:tr>
      <w:tr w:rsidR="00D2569B" w:rsidRPr="00B34608" w:rsidTr="00DC37A9">
        <w:trPr>
          <w:trHeight w:val="285"/>
        </w:trPr>
        <w:tc>
          <w:tcPr>
            <w:tcW w:w="709" w:type="dxa"/>
            <w:vAlign w:val="bottom"/>
          </w:tcPr>
          <w:p w:rsidR="00D2569B" w:rsidRPr="00B34608" w:rsidRDefault="00D2569B" w:rsidP="00DC37A9">
            <w:pPr>
              <w:rPr>
                <w:sz w:val="20"/>
              </w:rPr>
            </w:pPr>
            <w:r w:rsidRPr="00B34608">
              <w:rPr>
                <w:sz w:val="20"/>
              </w:rPr>
              <w:t>8.</w:t>
            </w:r>
          </w:p>
        </w:tc>
        <w:tc>
          <w:tcPr>
            <w:tcW w:w="2835" w:type="dxa"/>
            <w:vAlign w:val="bottom"/>
          </w:tcPr>
          <w:p w:rsidR="00D2569B" w:rsidRPr="00B34608" w:rsidRDefault="00D2569B" w:rsidP="00713747">
            <w:pPr>
              <w:rPr>
                <w:sz w:val="20"/>
              </w:rPr>
            </w:pPr>
            <w:r>
              <w:rPr>
                <w:sz w:val="20"/>
              </w:rPr>
              <w:t>BC</w:t>
            </w:r>
            <w:r w:rsidRPr="00B34608">
              <w:rPr>
                <w:sz w:val="20"/>
              </w:rPr>
              <w:t>U Amber</w:t>
            </w:r>
          </w:p>
        </w:tc>
        <w:tc>
          <w:tcPr>
            <w:tcW w:w="1701" w:type="dxa"/>
            <w:vAlign w:val="bottom"/>
          </w:tcPr>
          <w:p w:rsidR="00D2569B" w:rsidRPr="00B34608" w:rsidRDefault="00D2569B" w:rsidP="00713747">
            <w:pPr>
              <w:jc w:val="right"/>
              <w:rPr>
                <w:sz w:val="20"/>
              </w:rPr>
            </w:pPr>
          </w:p>
        </w:tc>
        <w:tc>
          <w:tcPr>
            <w:tcW w:w="1985" w:type="dxa"/>
            <w:vAlign w:val="bottom"/>
          </w:tcPr>
          <w:p w:rsidR="00D2569B" w:rsidRPr="00B34608" w:rsidRDefault="00D2569B" w:rsidP="00713747">
            <w:pPr>
              <w:jc w:val="right"/>
              <w:rPr>
                <w:sz w:val="20"/>
              </w:rPr>
            </w:pPr>
            <w:r>
              <w:rPr>
                <w:sz w:val="20"/>
              </w:rPr>
              <w:t>5,</w:t>
            </w:r>
            <w:r w:rsidRPr="00B34608">
              <w:rPr>
                <w:sz w:val="20"/>
              </w:rPr>
              <w:t>000</w:t>
            </w:r>
            <w:r>
              <w:rPr>
                <w:sz w:val="20"/>
              </w:rPr>
              <w:t>,</w:t>
            </w:r>
            <w:r w:rsidRPr="00B34608">
              <w:rPr>
                <w:sz w:val="20"/>
              </w:rPr>
              <w:t>000</w:t>
            </w:r>
          </w:p>
        </w:tc>
        <w:tc>
          <w:tcPr>
            <w:tcW w:w="2268" w:type="dxa"/>
            <w:vAlign w:val="bottom"/>
          </w:tcPr>
          <w:p w:rsidR="00D2569B" w:rsidRPr="00B34608" w:rsidRDefault="00D2569B" w:rsidP="00713747">
            <w:pPr>
              <w:jc w:val="right"/>
              <w:rPr>
                <w:b/>
                <w:sz w:val="20"/>
              </w:rPr>
            </w:pPr>
            <w:r>
              <w:rPr>
                <w:b/>
                <w:sz w:val="20"/>
              </w:rPr>
              <w:t>5,000,</w:t>
            </w:r>
            <w:r w:rsidRPr="00B34608">
              <w:rPr>
                <w:b/>
                <w:sz w:val="20"/>
              </w:rPr>
              <w:t>000</w:t>
            </w:r>
          </w:p>
        </w:tc>
      </w:tr>
      <w:tr w:rsidR="00D2569B" w:rsidRPr="00B34608" w:rsidTr="00DC37A9">
        <w:trPr>
          <w:trHeight w:val="275"/>
        </w:trPr>
        <w:tc>
          <w:tcPr>
            <w:tcW w:w="709" w:type="dxa"/>
            <w:vAlign w:val="bottom"/>
          </w:tcPr>
          <w:p w:rsidR="00D2569B" w:rsidRPr="00B34608" w:rsidRDefault="00D2569B" w:rsidP="00DC37A9">
            <w:pPr>
              <w:rPr>
                <w:sz w:val="20"/>
              </w:rPr>
            </w:pPr>
            <w:r w:rsidRPr="00B34608">
              <w:rPr>
                <w:sz w:val="20"/>
              </w:rPr>
              <w:t>9.</w:t>
            </w:r>
          </w:p>
        </w:tc>
        <w:tc>
          <w:tcPr>
            <w:tcW w:w="2835" w:type="dxa"/>
            <w:vAlign w:val="bottom"/>
          </w:tcPr>
          <w:p w:rsidR="00D2569B" w:rsidRPr="00B34608" w:rsidRDefault="00D2569B" w:rsidP="00713747">
            <w:pPr>
              <w:rPr>
                <w:sz w:val="20"/>
              </w:rPr>
            </w:pPr>
            <w:r w:rsidRPr="00B34608">
              <w:rPr>
                <w:sz w:val="20"/>
              </w:rPr>
              <w:t>B</w:t>
            </w:r>
            <w:r>
              <w:rPr>
                <w:sz w:val="20"/>
              </w:rPr>
              <w:t>C</w:t>
            </w:r>
            <w:r w:rsidRPr="00B34608">
              <w:rPr>
                <w:sz w:val="20"/>
              </w:rPr>
              <w:t xml:space="preserve">U </w:t>
            </w:r>
            <w:proofErr w:type="spellStart"/>
            <w:r w:rsidRPr="00B34608">
              <w:rPr>
                <w:sz w:val="20"/>
              </w:rPr>
              <w:t>Namų</w:t>
            </w:r>
            <w:proofErr w:type="spellEnd"/>
            <w:r w:rsidRPr="00B34608">
              <w:rPr>
                <w:sz w:val="20"/>
              </w:rPr>
              <w:t xml:space="preserve"> </w:t>
            </w:r>
          </w:p>
        </w:tc>
        <w:tc>
          <w:tcPr>
            <w:tcW w:w="1701" w:type="dxa"/>
            <w:vAlign w:val="bottom"/>
          </w:tcPr>
          <w:p w:rsidR="00D2569B" w:rsidRPr="00B34608" w:rsidRDefault="00D2569B" w:rsidP="00713747">
            <w:pPr>
              <w:jc w:val="right"/>
              <w:rPr>
                <w:sz w:val="20"/>
              </w:rPr>
            </w:pPr>
            <w:r>
              <w:rPr>
                <w:sz w:val="20"/>
              </w:rPr>
              <w:t>300,</w:t>
            </w:r>
            <w:r w:rsidRPr="00B34608">
              <w:rPr>
                <w:sz w:val="20"/>
              </w:rPr>
              <w:t>000</w:t>
            </w:r>
          </w:p>
        </w:tc>
        <w:tc>
          <w:tcPr>
            <w:tcW w:w="1985" w:type="dxa"/>
            <w:vAlign w:val="bottom"/>
          </w:tcPr>
          <w:p w:rsidR="00D2569B" w:rsidRPr="00B34608" w:rsidRDefault="00D2569B" w:rsidP="00713747">
            <w:pPr>
              <w:jc w:val="right"/>
              <w:rPr>
                <w:sz w:val="20"/>
              </w:rPr>
            </w:pPr>
            <w:r w:rsidRPr="00B34608">
              <w:rPr>
                <w:sz w:val="20"/>
              </w:rPr>
              <w:t>400</w:t>
            </w:r>
            <w:r>
              <w:rPr>
                <w:sz w:val="20"/>
              </w:rPr>
              <w:t>,</w:t>
            </w:r>
            <w:r w:rsidRPr="00B34608">
              <w:rPr>
                <w:sz w:val="20"/>
              </w:rPr>
              <w:t>000</w:t>
            </w:r>
          </w:p>
        </w:tc>
        <w:tc>
          <w:tcPr>
            <w:tcW w:w="2268" w:type="dxa"/>
            <w:vAlign w:val="bottom"/>
          </w:tcPr>
          <w:p w:rsidR="00D2569B" w:rsidRPr="00B34608" w:rsidRDefault="00D2569B" w:rsidP="00713747">
            <w:pPr>
              <w:jc w:val="right"/>
              <w:rPr>
                <w:b/>
                <w:sz w:val="20"/>
              </w:rPr>
            </w:pPr>
            <w:r w:rsidRPr="00B34608">
              <w:rPr>
                <w:b/>
                <w:sz w:val="20"/>
              </w:rPr>
              <w:t>700</w:t>
            </w:r>
            <w:r>
              <w:rPr>
                <w:b/>
                <w:sz w:val="20"/>
              </w:rPr>
              <w:t>,</w:t>
            </w:r>
            <w:r w:rsidRPr="00B34608">
              <w:rPr>
                <w:b/>
                <w:sz w:val="20"/>
              </w:rPr>
              <w:t>000</w:t>
            </w:r>
          </w:p>
        </w:tc>
      </w:tr>
      <w:tr w:rsidR="00D2569B" w:rsidRPr="00B34608" w:rsidTr="00DC37A9">
        <w:trPr>
          <w:trHeight w:val="279"/>
        </w:trPr>
        <w:tc>
          <w:tcPr>
            <w:tcW w:w="709" w:type="dxa"/>
            <w:vAlign w:val="bottom"/>
          </w:tcPr>
          <w:p w:rsidR="00D2569B" w:rsidRPr="00B34608" w:rsidRDefault="00D2569B" w:rsidP="00DC37A9">
            <w:pPr>
              <w:rPr>
                <w:sz w:val="20"/>
              </w:rPr>
            </w:pPr>
            <w:r w:rsidRPr="00B34608">
              <w:rPr>
                <w:sz w:val="20"/>
              </w:rPr>
              <w:t>10.</w:t>
            </w:r>
          </w:p>
        </w:tc>
        <w:tc>
          <w:tcPr>
            <w:tcW w:w="2835" w:type="dxa"/>
            <w:vAlign w:val="bottom"/>
          </w:tcPr>
          <w:p w:rsidR="00D2569B" w:rsidRPr="00B34608" w:rsidRDefault="00D2569B" w:rsidP="00713747">
            <w:pPr>
              <w:rPr>
                <w:sz w:val="20"/>
              </w:rPr>
            </w:pPr>
            <w:r>
              <w:rPr>
                <w:sz w:val="20"/>
              </w:rPr>
              <w:t>BC</w:t>
            </w:r>
            <w:r w:rsidRPr="00B34608">
              <w:rPr>
                <w:sz w:val="20"/>
              </w:rPr>
              <w:t xml:space="preserve">U </w:t>
            </w:r>
            <w:proofErr w:type="spellStart"/>
            <w:r w:rsidRPr="00B34608">
              <w:rPr>
                <w:sz w:val="20"/>
              </w:rPr>
              <w:t>Žemaitijos</w:t>
            </w:r>
            <w:proofErr w:type="spellEnd"/>
            <w:r w:rsidRPr="00B34608">
              <w:rPr>
                <w:sz w:val="20"/>
              </w:rPr>
              <w:t xml:space="preserve"> </w:t>
            </w:r>
            <w:proofErr w:type="spellStart"/>
            <w:r w:rsidRPr="00B34608">
              <w:rPr>
                <w:sz w:val="20"/>
              </w:rPr>
              <w:t>iždas</w:t>
            </w:r>
            <w:proofErr w:type="spellEnd"/>
          </w:p>
        </w:tc>
        <w:tc>
          <w:tcPr>
            <w:tcW w:w="1701" w:type="dxa"/>
            <w:vAlign w:val="bottom"/>
          </w:tcPr>
          <w:p w:rsidR="00D2569B" w:rsidRPr="00B34608" w:rsidRDefault="00D2569B" w:rsidP="00713747">
            <w:pPr>
              <w:jc w:val="right"/>
              <w:rPr>
                <w:sz w:val="20"/>
              </w:rPr>
            </w:pPr>
            <w:r>
              <w:rPr>
                <w:sz w:val="20"/>
              </w:rPr>
              <w:t>21,</w:t>
            </w:r>
            <w:r w:rsidRPr="00B34608">
              <w:rPr>
                <w:sz w:val="20"/>
              </w:rPr>
              <w:t>000</w:t>
            </w:r>
          </w:p>
        </w:tc>
        <w:tc>
          <w:tcPr>
            <w:tcW w:w="1985" w:type="dxa"/>
            <w:vAlign w:val="bottom"/>
          </w:tcPr>
          <w:p w:rsidR="00D2569B" w:rsidRPr="00B34608" w:rsidRDefault="00D2569B" w:rsidP="00713747">
            <w:pPr>
              <w:jc w:val="right"/>
              <w:rPr>
                <w:sz w:val="20"/>
              </w:rPr>
            </w:pPr>
            <w:r>
              <w:rPr>
                <w:sz w:val="20"/>
              </w:rPr>
              <w:t>620,</w:t>
            </w:r>
            <w:r w:rsidRPr="00B34608">
              <w:rPr>
                <w:sz w:val="20"/>
              </w:rPr>
              <w:t>000</w:t>
            </w:r>
          </w:p>
        </w:tc>
        <w:tc>
          <w:tcPr>
            <w:tcW w:w="2268" w:type="dxa"/>
            <w:vAlign w:val="bottom"/>
          </w:tcPr>
          <w:p w:rsidR="00D2569B" w:rsidRPr="00B34608" w:rsidRDefault="00D2569B" w:rsidP="00713747">
            <w:pPr>
              <w:jc w:val="right"/>
              <w:rPr>
                <w:b/>
                <w:sz w:val="20"/>
              </w:rPr>
            </w:pPr>
            <w:r>
              <w:rPr>
                <w:b/>
                <w:sz w:val="20"/>
              </w:rPr>
              <w:t>641,</w:t>
            </w:r>
            <w:r w:rsidRPr="00B34608">
              <w:rPr>
                <w:b/>
                <w:sz w:val="20"/>
              </w:rPr>
              <w:t>000</w:t>
            </w:r>
          </w:p>
        </w:tc>
      </w:tr>
      <w:tr w:rsidR="00D2569B" w:rsidRPr="00B34608" w:rsidTr="00DC37A9">
        <w:trPr>
          <w:trHeight w:val="283"/>
        </w:trPr>
        <w:tc>
          <w:tcPr>
            <w:tcW w:w="709" w:type="dxa"/>
            <w:vAlign w:val="bottom"/>
          </w:tcPr>
          <w:p w:rsidR="00D2569B" w:rsidRPr="00B34608" w:rsidRDefault="00D2569B" w:rsidP="00DC37A9">
            <w:pPr>
              <w:rPr>
                <w:sz w:val="20"/>
              </w:rPr>
            </w:pPr>
            <w:r w:rsidRPr="00B34608">
              <w:rPr>
                <w:sz w:val="20"/>
              </w:rPr>
              <w:t>11.</w:t>
            </w:r>
          </w:p>
        </w:tc>
        <w:tc>
          <w:tcPr>
            <w:tcW w:w="2835" w:type="dxa"/>
            <w:vAlign w:val="bottom"/>
          </w:tcPr>
          <w:p w:rsidR="00D2569B" w:rsidRPr="00B34608" w:rsidRDefault="00D2569B" w:rsidP="00713747">
            <w:pPr>
              <w:rPr>
                <w:sz w:val="20"/>
              </w:rPr>
            </w:pPr>
            <w:r>
              <w:rPr>
                <w:sz w:val="20"/>
              </w:rPr>
              <w:t>BC</w:t>
            </w:r>
            <w:r w:rsidRPr="00B34608">
              <w:rPr>
                <w:sz w:val="20"/>
              </w:rPr>
              <w:t xml:space="preserve">U </w:t>
            </w:r>
            <w:proofErr w:type="spellStart"/>
            <w:r w:rsidRPr="00B34608">
              <w:rPr>
                <w:sz w:val="20"/>
              </w:rPr>
              <w:t>Baltija</w:t>
            </w:r>
            <w:proofErr w:type="spellEnd"/>
          </w:p>
        </w:tc>
        <w:tc>
          <w:tcPr>
            <w:tcW w:w="1701" w:type="dxa"/>
            <w:vAlign w:val="bottom"/>
          </w:tcPr>
          <w:p w:rsidR="00D2569B" w:rsidRPr="00B34608" w:rsidRDefault="00D2569B" w:rsidP="00713747">
            <w:pPr>
              <w:jc w:val="right"/>
              <w:rPr>
                <w:sz w:val="20"/>
              </w:rPr>
            </w:pPr>
            <w:r>
              <w:rPr>
                <w:sz w:val="20"/>
              </w:rPr>
              <w:t>6,000,</w:t>
            </w:r>
            <w:r w:rsidRPr="00B34608">
              <w:rPr>
                <w:sz w:val="20"/>
              </w:rPr>
              <w:t>000</w:t>
            </w:r>
          </w:p>
        </w:tc>
        <w:tc>
          <w:tcPr>
            <w:tcW w:w="1985" w:type="dxa"/>
            <w:vAlign w:val="bottom"/>
          </w:tcPr>
          <w:p w:rsidR="00D2569B" w:rsidRPr="00B34608" w:rsidRDefault="00D2569B" w:rsidP="00713747">
            <w:pPr>
              <w:jc w:val="right"/>
              <w:rPr>
                <w:sz w:val="20"/>
              </w:rPr>
            </w:pPr>
            <w:r>
              <w:rPr>
                <w:sz w:val="20"/>
              </w:rPr>
              <w:t>2,000,</w:t>
            </w:r>
            <w:r w:rsidRPr="00B34608">
              <w:rPr>
                <w:sz w:val="20"/>
              </w:rPr>
              <w:t>000</w:t>
            </w:r>
          </w:p>
        </w:tc>
        <w:tc>
          <w:tcPr>
            <w:tcW w:w="2268" w:type="dxa"/>
            <w:vAlign w:val="bottom"/>
          </w:tcPr>
          <w:p w:rsidR="00D2569B" w:rsidRPr="00B34608" w:rsidRDefault="00D2569B" w:rsidP="00713747">
            <w:pPr>
              <w:jc w:val="right"/>
              <w:rPr>
                <w:b/>
                <w:sz w:val="20"/>
              </w:rPr>
            </w:pPr>
            <w:r>
              <w:rPr>
                <w:b/>
                <w:sz w:val="20"/>
              </w:rPr>
              <w:t>8,000,</w:t>
            </w:r>
            <w:r w:rsidRPr="00B34608">
              <w:rPr>
                <w:b/>
                <w:sz w:val="20"/>
              </w:rPr>
              <w:t>000</w:t>
            </w:r>
          </w:p>
        </w:tc>
      </w:tr>
      <w:tr w:rsidR="00D2569B" w:rsidRPr="00B34608" w:rsidTr="00DC37A9">
        <w:trPr>
          <w:trHeight w:val="401"/>
        </w:trPr>
        <w:tc>
          <w:tcPr>
            <w:tcW w:w="709" w:type="dxa"/>
            <w:vAlign w:val="bottom"/>
          </w:tcPr>
          <w:p w:rsidR="00D2569B" w:rsidRPr="00B34608" w:rsidRDefault="00D2569B" w:rsidP="00DC37A9">
            <w:pPr>
              <w:rPr>
                <w:sz w:val="20"/>
              </w:rPr>
            </w:pPr>
            <w:r w:rsidRPr="00B34608">
              <w:rPr>
                <w:sz w:val="20"/>
              </w:rPr>
              <w:t>12.</w:t>
            </w:r>
          </w:p>
        </w:tc>
        <w:tc>
          <w:tcPr>
            <w:tcW w:w="2835" w:type="dxa"/>
            <w:vAlign w:val="bottom"/>
          </w:tcPr>
          <w:p w:rsidR="00D2569B" w:rsidRPr="00B34608" w:rsidRDefault="00D2569B" w:rsidP="00713747">
            <w:pPr>
              <w:rPr>
                <w:sz w:val="20"/>
              </w:rPr>
            </w:pPr>
            <w:r>
              <w:rPr>
                <w:sz w:val="20"/>
              </w:rPr>
              <w:t>BC</w:t>
            </w:r>
            <w:r w:rsidRPr="00B34608">
              <w:rPr>
                <w:sz w:val="20"/>
              </w:rPr>
              <w:t xml:space="preserve">U </w:t>
            </w:r>
            <w:proofErr w:type="spellStart"/>
            <w:r w:rsidRPr="00B34608">
              <w:rPr>
                <w:sz w:val="20"/>
              </w:rPr>
              <w:t>Pajūrio</w:t>
            </w:r>
            <w:proofErr w:type="spellEnd"/>
          </w:p>
        </w:tc>
        <w:tc>
          <w:tcPr>
            <w:tcW w:w="1701" w:type="dxa"/>
            <w:vAlign w:val="bottom"/>
          </w:tcPr>
          <w:p w:rsidR="00D2569B" w:rsidRPr="00B34608" w:rsidRDefault="00D2569B" w:rsidP="00713747">
            <w:pPr>
              <w:jc w:val="right"/>
              <w:rPr>
                <w:sz w:val="20"/>
              </w:rPr>
            </w:pPr>
          </w:p>
        </w:tc>
        <w:tc>
          <w:tcPr>
            <w:tcW w:w="1985" w:type="dxa"/>
            <w:vAlign w:val="bottom"/>
          </w:tcPr>
          <w:p w:rsidR="00D2569B" w:rsidRPr="00B34608" w:rsidRDefault="00D2569B" w:rsidP="00713747">
            <w:pPr>
              <w:jc w:val="right"/>
              <w:rPr>
                <w:sz w:val="20"/>
              </w:rPr>
            </w:pPr>
            <w:r>
              <w:rPr>
                <w:sz w:val="20"/>
              </w:rPr>
              <w:t>1,</w:t>
            </w:r>
            <w:r w:rsidRPr="00B34608">
              <w:rPr>
                <w:sz w:val="20"/>
              </w:rPr>
              <w:t>824</w:t>
            </w:r>
            <w:r>
              <w:rPr>
                <w:sz w:val="20"/>
              </w:rPr>
              <w:t>,</w:t>
            </w:r>
            <w:r w:rsidRPr="00B34608">
              <w:rPr>
                <w:sz w:val="20"/>
              </w:rPr>
              <w:t>000</w:t>
            </w:r>
          </w:p>
        </w:tc>
        <w:tc>
          <w:tcPr>
            <w:tcW w:w="2268" w:type="dxa"/>
            <w:vAlign w:val="bottom"/>
          </w:tcPr>
          <w:p w:rsidR="00D2569B" w:rsidRPr="00B34608" w:rsidRDefault="00D2569B" w:rsidP="00713747">
            <w:pPr>
              <w:jc w:val="right"/>
              <w:rPr>
                <w:b/>
                <w:sz w:val="20"/>
              </w:rPr>
            </w:pPr>
            <w:r>
              <w:rPr>
                <w:b/>
                <w:sz w:val="20"/>
              </w:rPr>
              <w:t>7,</w:t>
            </w:r>
            <w:r w:rsidRPr="00B34608">
              <w:rPr>
                <w:b/>
                <w:sz w:val="20"/>
              </w:rPr>
              <w:t>824</w:t>
            </w:r>
            <w:r>
              <w:rPr>
                <w:b/>
                <w:sz w:val="20"/>
              </w:rPr>
              <w:t>,</w:t>
            </w:r>
            <w:r w:rsidRPr="00B34608">
              <w:rPr>
                <w:b/>
                <w:sz w:val="20"/>
              </w:rPr>
              <w:t>000</w:t>
            </w:r>
          </w:p>
        </w:tc>
      </w:tr>
      <w:tr w:rsidR="00D2569B" w:rsidRPr="00B34608" w:rsidTr="00DC37A9">
        <w:trPr>
          <w:trHeight w:val="421"/>
        </w:trPr>
        <w:tc>
          <w:tcPr>
            <w:tcW w:w="709" w:type="dxa"/>
            <w:vAlign w:val="bottom"/>
          </w:tcPr>
          <w:p w:rsidR="00D2569B" w:rsidRPr="00B34608" w:rsidRDefault="00D2569B" w:rsidP="00DC37A9">
            <w:pPr>
              <w:rPr>
                <w:sz w:val="20"/>
              </w:rPr>
            </w:pPr>
            <w:r w:rsidRPr="00B34608">
              <w:rPr>
                <w:sz w:val="20"/>
              </w:rPr>
              <w:t>13.</w:t>
            </w:r>
          </w:p>
        </w:tc>
        <w:tc>
          <w:tcPr>
            <w:tcW w:w="2835" w:type="dxa"/>
            <w:vAlign w:val="bottom"/>
          </w:tcPr>
          <w:p w:rsidR="00D2569B" w:rsidRPr="00B34608" w:rsidRDefault="00D2569B" w:rsidP="00713747">
            <w:pPr>
              <w:rPr>
                <w:sz w:val="20"/>
              </w:rPr>
            </w:pPr>
            <w:r>
              <w:rPr>
                <w:sz w:val="20"/>
              </w:rPr>
              <w:t>BC</w:t>
            </w:r>
            <w:r w:rsidRPr="00B34608">
              <w:rPr>
                <w:sz w:val="20"/>
              </w:rPr>
              <w:t xml:space="preserve">U Vilniaus </w:t>
            </w:r>
            <w:proofErr w:type="spellStart"/>
            <w:r w:rsidRPr="00B34608">
              <w:rPr>
                <w:sz w:val="20"/>
              </w:rPr>
              <w:t>kreditas</w:t>
            </w:r>
            <w:proofErr w:type="spellEnd"/>
          </w:p>
        </w:tc>
        <w:tc>
          <w:tcPr>
            <w:tcW w:w="1701" w:type="dxa"/>
            <w:vAlign w:val="bottom"/>
          </w:tcPr>
          <w:p w:rsidR="00D2569B" w:rsidRPr="00B34608" w:rsidRDefault="00D2569B" w:rsidP="00713747">
            <w:pPr>
              <w:jc w:val="right"/>
              <w:rPr>
                <w:sz w:val="20"/>
              </w:rPr>
            </w:pPr>
            <w:r>
              <w:rPr>
                <w:sz w:val="20"/>
              </w:rPr>
              <w:t>2,</w:t>
            </w:r>
            <w:r w:rsidRPr="00B34608">
              <w:rPr>
                <w:sz w:val="20"/>
              </w:rPr>
              <w:t>000</w:t>
            </w:r>
            <w:r>
              <w:rPr>
                <w:sz w:val="20"/>
              </w:rPr>
              <w:t>,</w:t>
            </w:r>
            <w:r w:rsidRPr="00B34608">
              <w:rPr>
                <w:sz w:val="20"/>
              </w:rPr>
              <w:t>000</w:t>
            </w:r>
          </w:p>
        </w:tc>
        <w:tc>
          <w:tcPr>
            <w:tcW w:w="1985" w:type="dxa"/>
            <w:vAlign w:val="bottom"/>
          </w:tcPr>
          <w:p w:rsidR="00D2569B" w:rsidRPr="00B34608" w:rsidRDefault="00D2569B" w:rsidP="00713747">
            <w:pPr>
              <w:jc w:val="right"/>
              <w:rPr>
                <w:sz w:val="20"/>
              </w:rPr>
            </w:pPr>
            <w:r>
              <w:rPr>
                <w:sz w:val="20"/>
              </w:rPr>
              <w:t>12,000,</w:t>
            </w:r>
            <w:r w:rsidRPr="00B34608">
              <w:rPr>
                <w:sz w:val="20"/>
              </w:rPr>
              <w:t>000</w:t>
            </w:r>
          </w:p>
        </w:tc>
        <w:tc>
          <w:tcPr>
            <w:tcW w:w="2268" w:type="dxa"/>
            <w:vAlign w:val="bottom"/>
          </w:tcPr>
          <w:p w:rsidR="00D2569B" w:rsidRPr="00B34608" w:rsidRDefault="00D2569B" w:rsidP="00713747">
            <w:pPr>
              <w:jc w:val="right"/>
              <w:rPr>
                <w:b/>
                <w:sz w:val="20"/>
              </w:rPr>
            </w:pPr>
            <w:r>
              <w:rPr>
                <w:b/>
                <w:sz w:val="20"/>
              </w:rPr>
              <w:t>14,000,</w:t>
            </w:r>
            <w:r w:rsidRPr="00B34608">
              <w:rPr>
                <w:b/>
                <w:sz w:val="20"/>
              </w:rPr>
              <w:t>000</w:t>
            </w:r>
          </w:p>
        </w:tc>
      </w:tr>
      <w:tr w:rsidR="00D2569B" w:rsidRPr="00B34608" w:rsidTr="007B5470">
        <w:trPr>
          <w:trHeight w:val="413"/>
        </w:trPr>
        <w:tc>
          <w:tcPr>
            <w:tcW w:w="709" w:type="dxa"/>
          </w:tcPr>
          <w:p w:rsidR="00D2569B" w:rsidRPr="00B34608" w:rsidRDefault="00D2569B" w:rsidP="009551B0">
            <w:pPr>
              <w:jc w:val="both"/>
              <w:rPr>
                <w:b/>
                <w:sz w:val="20"/>
              </w:rPr>
            </w:pPr>
          </w:p>
        </w:tc>
        <w:tc>
          <w:tcPr>
            <w:tcW w:w="2835" w:type="dxa"/>
            <w:vAlign w:val="bottom"/>
          </w:tcPr>
          <w:p w:rsidR="00D2569B" w:rsidRPr="00B34608" w:rsidRDefault="00D2569B" w:rsidP="00713747">
            <w:pPr>
              <w:jc w:val="right"/>
              <w:rPr>
                <w:b/>
                <w:sz w:val="20"/>
              </w:rPr>
            </w:pPr>
            <w:r>
              <w:rPr>
                <w:b/>
                <w:sz w:val="20"/>
              </w:rPr>
              <w:t>Total</w:t>
            </w:r>
            <w:r w:rsidRPr="00B34608">
              <w:rPr>
                <w:b/>
                <w:sz w:val="20"/>
              </w:rPr>
              <w:t>:</w:t>
            </w:r>
          </w:p>
        </w:tc>
        <w:tc>
          <w:tcPr>
            <w:tcW w:w="1701" w:type="dxa"/>
            <w:vAlign w:val="bottom"/>
          </w:tcPr>
          <w:p w:rsidR="00D2569B" w:rsidRPr="00B34608" w:rsidRDefault="00D2569B" w:rsidP="00713747">
            <w:pPr>
              <w:jc w:val="right"/>
              <w:rPr>
                <w:b/>
                <w:sz w:val="20"/>
              </w:rPr>
            </w:pPr>
            <w:r>
              <w:rPr>
                <w:b/>
                <w:sz w:val="20"/>
              </w:rPr>
              <w:t>130,</w:t>
            </w:r>
            <w:r w:rsidRPr="00B34608">
              <w:rPr>
                <w:b/>
                <w:sz w:val="20"/>
              </w:rPr>
              <w:t>839</w:t>
            </w:r>
            <w:r>
              <w:rPr>
                <w:b/>
                <w:sz w:val="20"/>
              </w:rPr>
              <w:t>,</w:t>
            </w:r>
            <w:r w:rsidRPr="00B34608">
              <w:rPr>
                <w:b/>
                <w:sz w:val="20"/>
              </w:rPr>
              <w:t>800</w:t>
            </w:r>
          </w:p>
        </w:tc>
        <w:tc>
          <w:tcPr>
            <w:tcW w:w="1985" w:type="dxa"/>
            <w:vAlign w:val="bottom"/>
          </w:tcPr>
          <w:p w:rsidR="00D2569B" w:rsidRPr="00B34608" w:rsidRDefault="00D2569B" w:rsidP="00713747">
            <w:pPr>
              <w:jc w:val="right"/>
              <w:rPr>
                <w:b/>
                <w:sz w:val="20"/>
              </w:rPr>
            </w:pPr>
            <w:r>
              <w:rPr>
                <w:b/>
                <w:sz w:val="20"/>
              </w:rPr>
              <w:t>42,</w:t>
            </w:r>
            <w:r w:rsidRPr="00B34608">
              <w:rPr>
                <w:b/>
                <w:sz w:val="20"/>
              </w:rPr>
              <w:t>443</w:t>
            </w:r>
            <w:r>
              <w:rPr>
                <w:b/>
                <w:sz w:val="20"/>
              </w:rPr>
              <w:t>,</w:t>
            </w:r>
            <w:r w:rsidRPr="00B34608">
              <w:rPr>
                <w:b/>
                <w:sz w:val="20"/>
              </w:rPr>
              <w:t>000</w:t>
            </w:r>
          </w:p>
        </w:tc>
        <w:tc>
          <w:tcPr>
            <w:tcW w:w="2268" w:type="dxa"/>
            <w:vAlign w:val="bottom"/>
          </w:tcPr>
          <w:p w:rsidR="00D2569B" w:rsidRPr="00B34608" w:rsidRDefault="00D2569B" w:rsidP="00713747">
            <w:pPr>
              <w:jc w:val="right"/>
              <w:rPr>
                <w:b/>
                <w:sz w:val="20"/>
              </w:rPr>
            </w:pPr>
            <w:r>
              <w:rPr>
                <w:b/>
                <w:sz w:val="20"/>
              </w:rPr>
              <w:t>173,</w:t>
            </w:r>
            <w:r w:rsidRPr="00B34608">
              <w:rPr>
                <w:b/>
                <w:sz w:val="20"/>
              </w:rPr>
              <w:t>282</w:t>
            </w:r>
            <w:r>
              <w:rPr>
                <w:b/>
                <w:sz w:val="20"/>
              </w:rPr>
              <w:t>,</w:t>
            </w:r>
            <w:r w:rsidRPr="00B34608">
              <w:rPr>
                <w:b/>
                <w:sz w:val="20"/>
              </w:rPr>
              <w:t>800</w:t>
            </w:r>
          </w:p>
        </w:tc>
      </w:tr>
    </w:tbl>
    <w:p w:rsidR="00D2569B" w:rsidRPr="00B34608" w:rsidRDefault="00D2569B" w:rsidP="00DA1155">
      <w:pPr>
        <w:ind w:right="-1" w:firstLine="1134"/>
        <w:jc w:val="both"/>
        <w:rPr>
          <w:rFonts w:ascii="Calibri" w:hAnsi="Calibri"/>
          <w:sz w:val="16"/>
          <w:szCs w:val="16"/>
        </w:rPr>
      </w:pPr>
    </w:p>
    <w:p w:rsidR="00D2569B" w:rsidRPr="00B34608" w:rsidRDefault="00D2569B" w:rsidP="00BA5A6C">
      <w:pPr>
        <w:pStyle w:val="Pagrindinistekstas"/>
        <w:spacing w:line="276" w:lineRule="auto"/>
        <w:ind w:left="-142" w:firstLine="142"/>
        <w:rPr>
          <w:b/>
          <w:sz w:val="24"/>
          <w:szCs w:val="24"/>
        </w:rPr>
      </w:pPr>
      <w:r w:rsidRPr="00B34608">
        <w:rPr>
          <w:szCs w:val="22"/>
        </w:rPr>
        <w:t xml:space="preserve">        </w:t>
      </w:r>
      <w:r>
        <w:rPr>
          <w:szCs w:val="22"/>
        </w:rPr>
        <w:t>According to certificates submitted by bankruptcy administrators, forecasted estimates of receivables are likely to generate economic benefits to the public sector entity; therefore, these assets are recorded in the Fund’s accounting in the statement of financial position</w:t>
      </w:r>
      <w:r w:rsidRPr="00B34608">
        <w:rPr>
          <w:szCs w:val="22"/>
        </w:rPr>
        <w:t xml:space="preserve">. </w:t>
      </w:r>
    </w:p>
    <w:p w:rsidR="00D2569B" w:rsidRPr="00B34608" w:rsidRDefault="00D2569B" w:rsidP="00FF5F91">
      <w:pPr>
        <w:pStyle w:val="Pagrindinistekstas"/>
        <w:rPr>
          <w:b/>
          <w:sz w:val="24"/>
          <w:szCs w:val="24"/>
        </w:rPr>
      </w:pPr>
      <w:r>
        <w:rPr>
          <w:b/>
          <w:sz w:val="24"/>
          <w:szCs w:val="24"/>
        </w:rPr>
        <w:t xml:space="preserve">Note </w:t>
      </w:r>
      <w:r w:rsidRPr="00B34608">
        <w:rPr>
          <w:b/>
          <w:sz w:val="24"/>
          <w:szCs w:val="24"/>
        </w:rPr>
        <w:t xml:space="preserve">2. </w:t>
      </w:r>
      <w:r>
        <w:rPr>
          <w:b/>
          <w:sz w:val="24"/>
          <w:szCs w:val="24"/>
        </w:rPr>
        <w:t>Prepayments</w:t>
      </w:r>
    </w:p>
    <w:p w:rsidR="00D2569B" w:rsidRPr="00B34608" w:rsidRDefault="00D2569B" w:rsidP="00BA5A6C">
      <w:pPr>
        <w:spacing w:line="276" w:lineRule="auto"/>
        <w:ind w:left="-142" w:firstLine="142"/>
        <w:jc w:val="both"/>
        <w:rPr>
          <w:szCs w:val="22"/>
        </w:rPr>
      </w:pPr>
      <w:r w:rsidRPr="00B34608">
        <w:rPr>
          <w:szCs w:val="22"/>
        </w:rPr>
        <w:t xml:space="preserve">         D</w:t>
      </w:r>
      <w:r>
        <w:rPr>
          <w:szCs w:val="22"/>
        </w:rPr>
        <w:t xml:space="preserve">ata about proceeds of insurance compensations transferred, but not collected by depositors and held in accounts with commercial banks (payment agents) are presented in detail in Table </w:t>
      </w:r>
      <w:r w:rsidRPr="00B34608">
        <w:rPr>
          <w:szCs w:val="22"/>
        </w:rPr>
        <w:t xml:space="preserve">2. </w:t>
      </w:r>
    </w:p>
    <w:p w:rsidR="00D2569B" w:rsidRPr="00B34608" w:rsidRDefault="00D2569B" w:rsidP="001B1E03">
      <w:pPr>
        <w:pStyle w:val="Antrat1"/>
        <w:tabs>
          <w:tab w:val="left" w:pos="0"/>
        </w:tabs>
        <w:spacing w:line="240" w:lineRule="auto"/>
        <w:jc w:val="both"/>
        <w:rPr>
          <w:b w:val="0"/>
          <w:i/>
          <w:sz w:val="22"/>
          <w:szCs w:val="22"/>
        </w:rPr>
      </w:pPr>
      <w:r>
        <w:rPr>
          <w:b w:val="0"/>
          <w:i/>
          <w:sz w:val="22"/>
          <w:szCs w:val="22"/>
        </w:rPr>
        <w:lastRenderedPageBreak/>
        <w:t xml:space="preserve">Table </w:t>
      </w:r>
      <w:r w:rsidRPr="00B34608">
        <w:rPr>
          <w:b w:val="0"/>
          <w:i/>
          <w:sz w:val="22"/>
          <w:szCs w:val="22"/>
        </w:rPr>
        <w:t>2. Informa</w:t>
      </w:r>
      <w:r>
        <w:rPr>
          <w:b w:val="0"/>
          <w:i/>
          <w:sz w:val="22"/>
          <w:szCs w:val="22"/>
        </w:rPr>
        <w:t xml:space="preserve">tion on proceeds disbursed, but not collected by depositors, held in accounts with commercial banks </w:t>
      </w:r>
    </w:p>
    <w:tbl>
      <w:tblPr>
        <w:tblW w:w="9498" w:type="dxa"/>
        <w:tblInd w:w="-147" w:type="dxa"/>
        <w:tblLayout w:type="fixed"/>
        <w:tblLook w:val="00A0" w:firstRow="1" w:lastRow="0" w:firstColumn="1" w:lastColumn="0" w:noHBand="0" w:noVBand="0"/>
      </w:tblPr>
      <w:tblGrid>
        <w:gridCol w:w="851"/>
        <w:gridCol w:w="5528"/>
        <w:gridCol w:w="1701"/>
        <w:gridCol w:w="1418"/>
      </w:tblGrid>
      <w:tr w:rsidR="00D2569B" w:rsidRPr="00B34608" w:rsidTr="00CD17A9">
        <w:trPr>
          <w:trHeight w:val="765"/>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2569B" w:rsidRPr="00B34608" w:rsidRDefault="00D2569B" w:rsidP="003D48EF">
            <w:pPr>
              <w:tabs>
                <w:tab w:val="left" w:pos="0"/>
              </w:tabs>
              <w:jc w:val="center"/>
              <w:rPr>
                <w:b/>
                <w:bCs/>
                <w:sz w:val="20"/>
              </w:rPr>
            </w:pPr>
            <w:r>
              <w:rPr>
                <w:b/>
                <w:bCs/>
                <w:sz w:val="20"/>
              </w:rPr>
              <w:t>Seq. No</w:t>
            </w:r>
          </w:p>
        </w:tc>
        <w:tc>
          <w:tcPr>
            <w:tcW w:w="5528" w:type="dxa"/>
            <w:tcBorders>
              <w:top w:val="single" w:sz="4" w:space="0" w:color="auto"/>
              <w:left w:val="nil"/>
              <w:bottom w:val="single" w:sz="4" w:space="0" w:color="auto"/>
              <w:right w:val="single" w:sz="4" w:space="0" w:color="auto"/>
            </w:tcBorders>
            <w:shd w:val="clear" w:color="000000" w:fill="FFFFFF"/>
            <w:vAlign w:val="center"/>
          </w:tcPr>
          <w:p w:rsidR="00D2569B" w:rsidRPr="00B34608" w:rsidRDefault="00D2569B" w:rsidP="003D48EF">
            <w:pPr>
              <w:tabs>
                <w:tab w:val="left" w:pos="0"/>
              </w:tabs>
              <w:jc w:val="center"/>
              <w:rPr>
                <w:b/>
                <w:bCs/>
                <w:sz w:val="20"/>
              </w:rPr>
            </w:pPr>
            <w:r>
              <w:rPr>
                <w:b/>
                <w:bCs/>
                <w:sz w:val="20"/>
              </w:rPr>
              <w:t>Item</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2569B" w:rsidRPr="00B34608" w:rsidRDefault="00D2569B" w:rsidP="003D48EF">
            <w:pPr>
              <w:tabs>
                <w:tab w:val="left" w:pos="0"/>
              </w:tabs>
              <w:jc w:val="center"/>
              <w:rPr>
                <w:b/>
                <w:bCs/>
                <w:sz w:val="20"/>
              </w:rPr>
            </w:pPr>
            <w:r>
              <w:rPr>
                <w:b/>
                <w:bCs/>
                <w:sz w:val="20"/>
              </w:rPr>
              <w:t xml:space="preserve">31 12 </w:t>
            </w:r>
            <w:r w:rsidRPr="00B34608">
              <w:rPr>
                <w:b/>
                <w:bCs/>
                <w:sz w:val="20"/>
              </w:rPr>
              <w:t>2017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D2569B" w:rsidRPr="00B34608" w:rsidRDefault="00D2569B" w:rsidP="00AF53AE">
            <w:pPr>
              <w:tabs>
                <w:tab w:val="left" w:pos="0"/>
              </w:tabs>
              <w:jc w:val="center"/>
              <w:rPr>
                <w:b/>
                <w:bCs/>
                <w:sz w:val="20"/>
              </w:rPr>
            </w:pPr>
            <w:r>
              <w:rPr>
                <w:b/>
                <w:bCs/>
                <w:sz w:val="20"/>
              </w:rPr>
              <w:t xml:space="preserve">31 12 </w:t>
            </w:r>
            <w:r w:rsidRPr="00B34608">
              <w:rPr>
                <w:b/>
                <w:bCs/>
                <w:sz w:val="20"/>
              </w:rPr>
              <w:t>201</w:t>
            </w:r>
            <w:r>
              <w:rPr>
                <w:b/>
                <w:bCs/>
                <w:sz w:val="20"/>
              </w:rPr>
              <w:t>6</w:t>
            </w:r>
          </w:p>
        </w:tc>
      </w:tr>
      <w:tr w:rsidR="00D2569B" w:rsidRPr="00B34608" w:rsidTr="00CD17A9">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D2569B" w:rsidRPr="00B34608" w:rsidRDefault="00D2569B" w:rsidP="003D48EF">
            <w:pPr>
              <w:tabs>
                <w:tab w:val="left" w:pos="0"/>
              </w:tabs>
              <w:jc w:val="center"/>
              <w:rPr>
                <w:sz w:val="20"/>
              </w:rPr>
            </w:pPr>
            <w:r w:rsidRPr="00B34608">
              <w:rPr>
                <w:sz w:val="20"/>
              </w:rPr>
              <w:t>1</w:t>
            </w:r>
          </w:p>
        </w:tc>
        <w:tc>
          <w:tcPr>
            <w:tcW w:w="5528" w:type="dxa"/>
            <w:tcBorders>
              <w:top w:val="nil"/>
              <w:left w:val="nil"/>
              <w:bottom w:val="single" w:sz="4" w:space="0" w:color="auto"/>
              <w:right w:val="single" w:sz="4" w:space="0" w:color="auto"/>
            </w:tcBorders>
            <w:shd w:val="clear" w:color="000000" w:fill="FFFFFF"/>
            <w:vAlign w:val="center"/>
          </w:tcPr>
          <w:p w:rsidR="00D2569B" w:rsidRPr="00B34608" w:rsidRDefault="00D2569B" w:rsidP="003D48EF">
            <w:pPr>
              <w:tabs>
                <w:tab w:val="left" w:pos="0"/>
              </w:tabs>
              <w:jc w:val="center"/>
              <w:rPr>
                <w:sz w:val="20"/>
              </w:rPr>
            </w:pPr>
            <w:r w:rsidRPr="00B34608">
              <w:rPr>
                <w:sz w:val="20"/>
              </w:rPr>
              <w:t>2</w:t>
            </w:r>
          </w:p>
        </w:tc>
        <w:tc>
          <w:tcPr>
            <w:tcW w:w="1701" w:type="dxa"/>
            <w:tcBorders>
              <w:top w:val="nil"/>
              <w:left w:val="nil"/>
              <w:bottom w:val="single" w:sz="4" w:space="0" w:color="auto"/>
              <w:right w:val="single" w:sz="4" w:space="0" w:color="auto"/>
            </w:tcBorders>
            <w:shd w:val="clear" w:color="000000" w:fill="FFFFFF"/>
            <w:vAlign w:val="center"/>
          </w:tcPr>
          <w:p w:rsidR="00D2569B" w:rsidRPr="00B34608" w:rsidRDefault="00D2569B" w:rsidP="003D48EF">
            <w:pPr>
              <w:tabs>
                <w:tab w:val="left" w:pos="0"/>
              </w:tabs>
              <w:jc w:val="center"/>
              <w:rPr>
                <w:sz w:val="20"/>
              </w:rPr>
            </w:pPr>
            <w:r w:rsidRPr="00B34608">
              <w:rPr>
                <w:sz w:val="20"/>
              </w:rPr>
              <w:t>3</w:t>
            </w:r>
          </w:p>
        </w:tc>
        <w:tc>
          <w:tcPr>
            <w:tcW w:w="1418" w:type="dxa"/>
            <w:tcBorders>
              <w:top w:val="nil"/>
              <w:left w:val="nil"/>
              <w:bottom w:val="single" w:sz="4" w:space="0" w:color="auto"/>
              <w:right w:val="single" w:sz="4" w:space="0" w:color="auto"/>
            </w:tcBorders>
            <w:shd w:val="clear" w:color="000000" w:fill="FFFFFF"/>
          </w:tcPr>
          <w:p w:rsidR="00D2569B" w:rsidRPr="00B34608" w:rsidRDefault="00D2569B" w:rsidP="003D48EF">
            <w:pPr>
              <w:tabs>
                <w:tab w:val="left" w:pos="0"/>
              </w:tabs>
              <w:jc w:val="center"/>
              <w:rPr>
                <w:sz w:val="20"/>
              </w:rPr>
            </w:pPr>
            <w:r w:rsidRPr="00B34608">
              <w:rPr>
                <w:sz w:val="20"/>
              </w:rPr>
              <w:t>4</w:t>
            </w:r>
          </w:p>
        </w:tc>
      </w:tr>
      <w:tr w:rsidR="00D2569B" w:rsidRPr="00B34608" w:rsidTr="00CD17A9">
        <w:trPr>
          <w:trHeight w:val="255"/>
        </w:trPr>
        <w:tc>
          <w:tcPr>
            <w:tcW w:w="851"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3D48EF">
            <w:pPr>
              <w:tabs>
                <w:tab w:val="left" w:pos="0"/>
              </w:tabs>
              <w:jc w:val="center"/>
              <w:rPr>
                <w:b/>
                <w:bCs/>
                <w:sz w:val="20"/>
              </w:rPr>
            </w:pPr>
            <w:r w:rsidRPr="00B34608">
              <w:rPr>
                <w:b/>
                <w:bCs/>
                <w:sz w:val="20"/>
              </w:rPr>
              <w:t>1.</w:t>
            </w:r>
          </w:p>
        </w:tc>
        <w:tc>
          <w:tcPr>
            <w:tcW w:w="5528" w:type="dxa"/>
            <w:tcBorders>
              <w:top w:val="nil"/>
              <w:left w:val="nil"/>
              <w:bottom w:val="single" w:sz="4" w:space="0" w:color="auto"/>
              <w:right w:val="single" w:sz="4" w:space="0" w:color="auto"/>
            </w:tcBorders>
            <w:shd w:val="clear" w:color="000000" w:fill="FFFFFF"/>
          </w:tcPr>
          <w:p w:rsidR="00D2569B" w:rsidRPr="00B34608" w:rsidRDefault="00D2569B" w:rsidP="003D48EF">
            <w:pPr>
              <w:tabs>
                <w:tab w:val="left" w:pos="0"/>
              </w:tabs>
              <w:rPr>
                <w:b/>
                <w:bCs/>
                <w:sz w:val="20"/>
              </w:rPr>
            </w:pPr>
            <w:r>
              <w:rPr>
                <w:b/>
                <w:bCs/>
                <w:sz w:val="20"/>
              </w:rPr>
              <w:t>Prepayments</w:t>
            </w:r>
          </w:p>
        </w:tc>
        <w:tc>
          <w:tcPr>
            <w:tcW w:w="1701" w:type="dxa"/>
            <w:tcBorders>
              <w:top w:val="nil"/>
              <w:left w:val="nil"/>
              <w:bottom w:val="single" w:sz="4" w:space="0" w:color="auto"/>
              <w:right w:val="single" w:sz="4" w:space="0" w:color="auto"/>
            </w:tcBorders>
            <w:shd w:val="clear" w:color="000000" w:fill="FFFFFF"/>
            <w:vAlign w:val="bottom"/>
          </w:tcPr>
          <w:p w:rsidR="00D2569B" w:rsidRPr="00B34608" w:rsidRDefault="00D2569B" w:rsidP="003D48EF">
            <w:pPr>
              <w:tabs>
                <w:tab w:val="left" w:pos="0"/>
              </w:tabs>
              <w:jc w:val="center"/>
              <w:rPr>
                <w:sz w:val="20"/>
              </w:rPr>
            </w:pPr>
            <w:r w:rsidRPr="00B34608">
              <w:rPr>
                <w:sz w:val="20"/>
              </w:rPr>
              <w:t> </w:t>
            </w:r>
          </w:p>
        </w:tc>
        <w:tc>
          <w:tcPr>
            <w:tcW w:w="1418" w:type="dxa"/>
            <w:tcBorders>
              <w:top w:val="nil"/>
              <w:left w:val="nil"/>
              <w:bottom w:val="single" w:sz="4" w:space="0" w:color="auto"/>
              <w:right w:val="single" w:sz="4" w:space="0" w:color="auto"/>
            </w:tcBorders>
            <w:shd w:val="clear" w:color="000000" w:fill="FFFFFF"/>
          </w:tcPr>
          <w:p w:rsidR="00D2569B" w:rsidRPr="00B34608" w:rsidRDefault="00D2569B" w:rsidP="003D48EF">
            <w:pPr>
              <w:tabs>
                <w:tab w:val="left" w:pos="0"/>
              </w:tabs>
              <w:jc w:val="center"/>
              <w:rPr>
                <w:sz w:val="20"/>
              </w:rPr>
            </w:pPr>
          </w:p>
        </w:tc>
      </w:tr>
      <w:tr w:rsidR="00D2569B" w:rsidRPr="00B34608" w:rsidTr="00CD17A9">
        <w:trPr>
          <w:trHeight w:val="255"/>
        </w:trPr>
        <w:tc>
          <w:tcPr>
            <w:tcW w:w="851"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3D48EF">
            <w:pPr>
              <w:tabs>
                <w:tab w:val="left" w:pos="0"/>
              </w:tabs>
              <w:jc w:val="center"/>
              <w:rPr>
                <w:sz w:val="20"/>
              </w:rPr>
            </w:pPr>
            <w:r w:rsidRPr="00B34608">
              <w:rPr>
                <w:sz w:val="20"/>
              </w:rPr>
              <w:t>1.6.</w:t>
            </w:r>
          </w:p>
        </w:tc>
        <w:tc>
          <w:tcPr>
            <w:tcW w:w="5528" w:type="dxa"/>
            <w:tcBorders>
              <w:top w:val="nil"/>
              <w:left w:val="nil"/>
              <w:bottom w:val="single" w:sz="4" w:space="0" w:color="auto"/>
              <w:right w:val="single" w:sz="4" w:space="0" w:color="auto"/>
            </w:tcBorders>
            <w:shd w:val="clear" w:color="000000" w:fill="FFFFFF"/>
          </w:tcPr>
          <w:p w:rsidR="00D2569B" w:rsidRPr="00B34608" w:rsidRDefault="00D2569B" w:rsidP="003D48EF">
            <w:pPr>
              <w:tabs>
                <w:tab w:val="left" w:pos="0"/>
              </w:tabs>
              <w:rPr>
                <w:sz w:val="20"/>
              </w:rPr>
            </w:pPr>
            <w:r>
              <w:rPr>
                <w:sz w:val="20"/>
              </w:rPr>
              <w:t>Other prepayments</w:t>
            </w:r>
          </w:p>
        </w:tc>
        <w:tc>
          <w:tcPr>
            <w:tcW w:w="1701" w:type="dxa"/>
            <w:tcBorders>
              <w:top w:val="nil"/>
              <w:left w:val="nil"/>
              <w:bottom w:val="single" w:sz="4" w:space="0" w:color="auto"/>
              <w:right w:val="single" w:sz="4" w:space="0" w:color="auto"/>
            </w:tcBorders>
            <w:shd w:val="clear" w:color="000000" w:fill="FFFFFF"/>
          </w:tcPr>
          <w:p w:rsidR="00D2569B" w:rsidRPr="00B34608" w:rsidRDefault="00D2569B" w:rsidP="00526FB2">
            <w:pPr>
              <w:jc w:val="right"/>
              <w:rPr>
                <w:b/>
                <w:bCs/>
                <w:sz w:val="20"/>
                <w:lang w:eastAsia="lt-LT"/>
              </w:rPr>
            </w:pPr>
            <w:r>
              <w:rPr>
                <w:b/>
                <w:bCs/>
                <w:sz w:val="20"/>
                <w:lang w:eastAsia="lt-LT"/>
              </w:rPr>
              <w:t>8,338,</w:t>
            </w:r>
            <w:r w:rsidRPr="00B34608">
              <w:rPr>
                <w:b/>
                <w:bCs/>
                <w:sz w:val="20"/>
                <w:lang w:eastAsia="lt-LT"/>
              </w:rPr>
              <w:t>141</w:t>
            </w:r>
          </w:p>
        </w:tc>
        <w:tc>
          <w:tcPr>
            <w:tcW w:w="1418" w:type="dxa"/>
            <w:tcBorders>
              <w:top w:val="nil"/>
              <w:left w:val="nil"/>
              <w:bottom w:val="single" w:sz="4" w:space="0" w:color="auto"/>
              <w:right w:val="single" w:sz="4" w:space="0" w:color="auto"/>
            </w:tcBorders>
            <w:shd w:val="clear" w:color="000000" w:fill="FFFFFF"/>
          </w:tcPr>
          <w:p w:rsidR="00D2569B" w:rsidRPr="00B34608" w:rsidRDefault="00D2569B" w:rsidP="00D55227">
            <w:pPr>
              <w:jc w:val="right"/>
              <w:rPr>
                <w:b/>
                <w:bCs/>
                <w:sz w:val="20"/>
                <w:lang w:eastAsia="lt-LT"/>
              </w:rPr>
            </w:pPr>
            <w:r w:rsidRPr="00B34608">
              <w:rPr>
                <w:b/>
                <w:bCs/>
                <w:sz w:val="20"/>
                <w:lang w:eastAsia="lt-LT"/>
              </w:rPr>
              <w:t>1</w:t>
            </w:r>
            <w:r>
              <w:rPr>
                <w:b/>
                <w:bCs/>
                <w:sz w:val="20"/>
                <w:lang w:eastAsia="lt-LT"/>
              </w:rPr>
              <w:t>,</w:t>
            </w:r>
            <w:r w:rsidRPr="00B34608">
              <w:rPr>
                <w:b/>
                <w:bCs/>
                <w:sz w:val="20"/>
                <w:lang w:eastAsia="lt-LT"/>
              </w:rPr>
              <w:t>912</w:t>
            </w:r>
            <w:r>
              <w:rPr>
                <w:b/>
                <w:bCs/>
                <w:sz w:val="20"/>
                <w:lang w:eastAsia="lt-LT"/>
              </w:rPr>
              <w:t>,</w:t>
            </w:r>
            <w:r w:rsidRPr="00B34608">
              <w:rPr>
                <w:b/>
                <w:bCs/>
                <w:sz w:val="20"/>
                <w:lang w:eastAsia="lt-LT"/>
              </w:rPr>
              <w:t>127</w:t>
            </w:r>
          </w:p>
        </w:tc>
      </w:tr>
      <w:tr w:rsidR="00D2569B" w:rsidRPr="00B34608" w:rsidTr="00CD17A9">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D2569B" w:rsidRPr="00B34608" w:rsidRDefault="00D2569B" w:rsidP="00005455">
            <w:pPr>
              <w:jc w:val="center"/>
              <w:rPr>
                <w:i/>
                <w:sz w:val="20"/>
              </w:rPr>
            </w:pPr>
            <w:r w:rsidRPr="00B34608">
              <w:rPr>
                <w:i/>
                <w:sz w:val="20"/>
              </w:rPr>
              <w:t>1.6.1.</w:t>
            </w:r>
          </w:p>
        </w:tc>
        <w:tc>
          <w:tcPr>
            <w:tcW w:w="5528"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3D48EF">
            <w:pPr>
              <w:jc w:val="both"/>
              <w:rPr>
                <w:i/>
                <w:sz w:val="20"/>
                <w:lang w:eastAsia="lt-LT"/>
              </w:rPr>
            </w:pPr>
            <w:r w:rsidRPr="00B34608">
              <w:rPr>
                <w:i/>
                <w:sz w:val="20"/>
                <w:lang w:eastAsia="lt-LT"/>
              </w:rPr>
              <w:t>A</w:t>
            </w:r>
            <w:r>
              <w:rPr>
                <w:i/>
                <w:sz w:val="20"/>
                <w:lang w:eastAsia="lt-LT"/>
              </w:rPr>
              <w:t>dvance for insurance compensations to depositors of</w:t>
            </w:r>
            <w:r w:rsidRPr="00B34608">
              <w:rPr>
                <w:i/>
                <w:sz w:val="20"/>
                <w:lang w:eastAsia="lt-LT"/>
              </w:rPr>
              <w:t xml:space="preserve"> </w:t>
            </w:r>
            <w:r>
              <w:rPr>
                <w:color w:val="000000"/>
                <w:sz w:val="20"/>
              </w:rPr>
              <w:t>BCC</w:t>
            </w:r>
            <w:r w:rsidRPr="00B34608">
              <w:rPr>
                <w:color w:val="000000"/>
                <w:sz w:val="20"/>
              </w:rPr>
              <w:t xml:space="preserve"> </w:t>
            </w:r>
            <w:proofErr w:type="spellStart"/>
            <w:r w:rsidRPr="00B34608">
              <w:rPr>
                <w:color w:val="000000"/>
                <w:sz w:val="20"/>
              </w:rPr>
              <w:t>Nacionalinė</w:t>
            </w:r>
            <w:proofErr w:type="spellEnd"/>
            <w:r w:rsidRPr="00B34608">
              <w:rPr>
                <w:color w:val="000000"/>
                <w:sz w:val="20"/>
              </w:rPr>
              <w:t xml:space="preserve"> </w:t>
            </w:r>
            <w:proofErr w:type="spellStart"/>
            <w:r w:rsidRPr="00B34608">
              <w:rPr>
                <w:color w:val="000000"/>
                <w:sz w:val="20"/>
              </w:rPr>
              <w:t>kredito</w:t>
            </w:r>
            <w:proofErr w:type="spellEnd"/>
            <w:r w:rsidRPr="00B34608">
              <w:rPr>
                <w:color w:val="000000"/>
                <w:sz w:val="20"/>
              </w:rPr>
              <w:t xml:space="preserve"> </w:t>
            </w:r>
            <w:proofErr w:type="spellStart"/>
            <w:r w:rsidRPr="00B34608">
              <w:rPr>
                <w:color w:val="000000"/>
                <w:sz w:val="20"/>
              </w:rPr>
              <w:t>unij</w:t>
            </w:r>
            <w:r>
              <w:rPr>
                <w:color w:val="000000"/>
                <w:sz w:val="20"/>
              </w:rPr>
              <w:t>a</w:t>
            </w:r>
            <w:proofErr w:type="spellEnd"/>
          </w:p>
        </w:tc>
        <w:tc>
          <w:tcPr>
            <w:tcW w:w="1701"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DB3B38">
            <w:pPr>
              <w:jc w:val="right"/>
              <w:rPr>
                <w:i/>
                <w:sz w:val="20"/>
                <w:lang w:eastAsia="lt-LT"/>
              </w:rPr>
            </w:pPr>
            <w:r w:rsidRPr="00B34608">
              <w:rPr>
                <w:i/>
                <w:sz w:val="20"/>
                <w:lang w:eastAsia="lt-LT"/>
              </w:rPr>
              <w:t>43</w:t>
            </w:r>
            <w:r>
              <w:rPr>
                <w:i/>
                <w:sz w:val="20"/>
                <w:lang w:eastAsia="lt-LT"/>
              </w:rPr>
              <w:t>,</w:t>
            </w:r>
            <w:r w:rsidRPr="00B34608">
              <w:rPr>
                <w:i/>
                <w:sz w:val="20"/>
                <w:lang w:eastAsia="lt-LT"/>
              </w:rPr>
              <w:t>495</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D55227">
            <w:pPr>
              <w:jc w:val="right"/>
              <w:rPr>
                <w:i/>
                <w:sz w:val="20"/>
                <w:lang w:eastAsia="lt-LT"/>
              </w:rPr>
            </w:pPr>
            <w:r w:rsidRPr="00B34608">
              <w:rPr>
                <w:i/>
                <w:sz w:val="20"/>
                <w:lang w:eastAsia="lt-LT"/>
              </w:rPr>
              <w:t>43</w:t>
            </w:r>
            <w:r>
              <w:rPr>
                <w:i/>
                <w:sz w:val="20"/>
                <w:lang w:eastAsia="lt-LT"/>
              </w:rPr>
              <w:t>,</w:t>
            </w:r>
            <w:r w:rsidRPr="00B34608">
              <w:rPr>
                <w:i/>
                <w:sz w:val="20"/>
                <w:lang w:eastAsia="lt-LT"/>
              </w:rPr>
              <w:t>495</w:t>
            </w:r>
          </w:p>
        </w:tc>
      </w:tr>
      <w:tr w:rsidR="00D2569B" w:rsidRPr="00B34608" w:rsidTr="00CD17A9">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D2569B" w:rsidRPr="00B34608" w:rsidRDefault="00D2569B" w:rsidP="00005455">
            <w:pPr>
              <w:jc w:val="center"/>
              <w:rPr>
                <w:i/>
                <w:sz w:val="20"/>
              </w:rPr>
            </w:pPr>
            <w:r w:rsidRPr="00B34608">
              <w:rPr>
                <w:i/>
                <w:sz w:val="20"/>
              </w:rPr>
              <w:t>1.6.2.</w:t>
            </w:r>
          </w:p>
        </w:tc>
        <w:tc>
          <w:tcPr>
            <w:tcW w:w="5528"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3D48EF">
            <w:pPr>
              <w:jc w:val="both"/>
              <w:rPr>
                <w:i/>
                <w:sz w:val="20"/>
                <w:lang w:eastAsia="lt-LT"/>
              </w:rPr>
            </w:pPr>
            <w:r w:rsidRPr="00B34608">
              <w:rPr>
                <w:i/>
                <w:sz w:val="20"/>
                <w:lang w:eastAsia="lt-LT"/>
              </w:rPr>
              <w:t>A</w:t>
            </w:r>
            <w:r>
              <w:rPr>
                <w:i/>
                <w:sz w:val="20"/>
                <w:lang w:eastAsia="lt-LT"/>
              </w:rPr>
              <w:t>dvance for insurance compensations to depositors of</w:t>
            </w:r>
            <w:r w:rsidRPr="00B34608">
              <w:rPr>
                <w:i/>
                <w:sz w:val="20"/>
                <w:lang w:eastAsia="lt-LT"/>
              </w:rPr>
              <w:t xml:space="preserve"> </w:t>
            </w:r>
            <w:r w:rsidRPr="00B34608">
              <w:rPr>
                <w:color w:val="000000"/>
                <w:sz w:val="20"/>
              </w:rPr>
              <w:t>B</w:t>
            </w:r>
            <w:r>
              <w:rPr>
                <w:color w:val="000000"/>
                <w:sz w:val="20"/>
              </w:rPr>
              <w:t>CC CU</w:t>
            </w:r>
            <w:r w:rsidRPr="00B34608">
              <w:rPr>
                <w:color w:val="000000"/>
                <w:sz w:val="20"/>
              </w:rPr>
              <w:t xml:space="preserve"> </w:t>
            </w:r>
            <w:proofErr w:type="spellStart"/>
            <w:r w:rsidRPr="00B34608">
              <w:rPr>
                <w:color w:val="000000"/>
                <w:sz w:val="20"/>
              </w:rPr>
              <w:t>Švyturio</w:t>
            </w:r>
            <w:proofErr w:type="spellEnd"/>
            <w:r w:rsidRPr="00B34608">
              <w:rPr>
                <w:color w:val="000000"/>
                <w:sz w:val="20"/>
              </w:rPr>
              <w:t xml:space="preserve"> </w:t>
            </w:r>
            <w:proofErr w:type="spellStart"/>
            <w:r w:rsidRPr="00B34608">
              <w:rPr>
                <w:color w:val="000000"/>
                <w:sz w:val="20"/>
              </w:rPr>
              <w:t>taupomoji</w:t>
            </w:r>
            <w:proofErr w:type="spellEnd"/>
            <w:r w:rsidRPr="00B34608">
              <w:rPr>
                <w:color w:val="000000"/>
                <w:sz w:val="20"/>
              </w:rPr>
              <w:t xml:space="preserve"> </w:t>
            </w:r>
            <w:proofErr w:type="spellStart"/>
            <w:r w:rsidRPr="00B34608">
              <w:rPr>
                <w:color w:val="000000"/>
                <w:sz w:val="20"/>
              </w:rPr>
              <w:t>kasa</w:t>
            </w:r>
            <w:proofErr w:type="spellEnd"/>
          </w:p>
        </w:tc>
        <w:tc>
          <w:tcPr>
            <w:tcW w:w="1701"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DB3B38">
            <w:pPr>
              <w:jc w:val="right"/>
              <w:rPr>
                <w:i/>
                <w:sz w:val="20"/>
                <w:lang w:eastAsia="lt-LT"/>
              </w:rPr>
            </w:pPr>
            <w:r w:rsidRPr="00B34608">
              <w:rPr>
                <w:i/>
                <w:sz w:val="20"/>
                <w:lang w:eastAsia="lt-LT"/>
              </w:rPr>
              <w:t>4</w:t>
            </w:r>
            <w:r>
              <w:rPr>
                <w:i/>
                <w:sz w:val="20"/>
                <w:lang w:eastAsia="lt-LT"/>
              </w:rPr>
              <w:t>,</w:t>
            </w:r>
            <w:r w:rsidRPr="00B34608">
              <w:rPr>
                <w:i/>
                <w:sz w:val="20"/>
                <w:lang w:eastAsia="lt-LT"/>
              </w:rPr>
              <w:t>310</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D55227">
            <w:pPr>
              <w:jc w:val="right"/>
              <w:rPr>
                <w:i/>
                <w:sz w:val="20"/>
                <w:lang w:eastAsia="lt-LT"/>
              </w:rPr>
            </w:pPr>
            <w:r w:rsidRPr="00B34608">
              <w:rPr>
                <w:i/>
                <w:sz w:val="20"/>
                <w:lang w:eastAsia="lt-LT"/>
              </w:rPr>
              <w:t>4</w:t>
            </w:r>
            <w:r>
              <w:rPr>
                <w:i/>
                <w:sz w:val="20"/>
                <w:lang w:eastAsia="lt-LT"/>
              </w:rPr>
              <w:t>,</w:t>
            </w:r>
            <w:r w:rsidRPr="00B34608">
              <w:rPr>
                <w:i/>
                <w:sz w:val="20"/>
                <w:lang w:eastAsia="lt-LT"/>
              </w:rPr>
              <w:t>310</w:t>
            </w:r>
          </w:p>
        </w:tc>
      </w:tr>
      <w:tr w:rsidR="00D2569B" w:rsidRPr="00B34608" w:rsidTr="00CD17A9">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D2569B" w:rsidRPr="00B34608" w:rsidRDefault="00D2569B" w:rsidP="00005455">
            <w:pPr>
              <w:jc w:val="center"/>
              <w:rPr>
                <w:i/>
                <w:sz w:val="20"/>
              </w:rPr>
            </w:pPr>
            <w:r w:rsidRPr="00B34608">
              <w:rPr>
                <w:i/>
                <w:sz w:val="20"/>
              </w:rPr>
              <w:t>1.6.3.</w:t>
            </w:r>
          </w:p>
        </w:tc>
        <w:tc>
          <w:tcPr>
            <w:tcW w:w="5528"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3D48EF">
            <w:pPr>
              <w:jc w:val="both"/>
              <w:rPr>
                <w:i/>
                <w:sz w:val="20"/>
                <w:lang w:eastAsia="lt-LT"/>
              </w:rPr>
            </w:pPr>
            <w:r w:rsidRPr="00B34608">
              <w:rPr>
                <w:i/>
                <w:sz w:val="20"/>
                <w:lang w:eastAsia="lt-LT"/>
              </w:rPr>
              <w:t>A</w:t>
            </w:r>
            <w:r>
              <w:rPr>
                <w:i/>
                <w:sz w:val="20"/>
                <w:lang w:eastAsia="lt-LT"/>
              </w:rPr>
              <w:t>dvance for insurance compensations to depositors of</w:t>
            </w:r>
            <w:r w:rsidRPr="00B34608">
              <w:rPr>
                <w:i/>
                <w:sz w:val="20"/>
                <w:lang w:eastAsia="lt-LT"/>
              </w:rPr>
              <w:t xml:space="preserve"> </w:t>
            </w:r>
            <w:r w:rsidRPr="00B34608">
              <w:rPr>
                <w:color w:val="000000"/>
                <w:sz w:val="20"/>
              </w:rPr>
              <w:t>B</w:t>
            </w:r>
            <w:r>
              <w:rPr>
                <w:color w:val="000000"/>
                <w:sz w:val="20"/>
              </w:rPr>
              <w:t>CC CU</w:t>
            </w:r>
            <w:r w:rsidRPr="00B34608">
              <w:rPr>
                <w:color w:val="000000"/>
                <w:sz w:val="20"/>
              </w:rPr>
              <w:t xml:space="preserve"> </w:t>
            </w:r>
            <w:proofErr w:type="spellStart"/>
            <w:r w:rsidRPr="00B34608">
              <w:rPr>
                <w:color w:val="000000"/>
                <w:sz w:val="20"/>
              </w:rPr>
              <w:t>Laikinosios</w:t>
            </w:r>
            <w:proofErr w:type="spellEnd"/>
            <w:r w:rsidRPr="00B34608">
              <w:rPr>
                <w:color w:val="000000"/>
                <w:sz w:val="20"/>
              </w:rPr>
              <w:t xml:space="preserve"> </w:t>
            </w:r>
            <w:proofErr w:type="spellStart"/>
            <w:r w:rsidRPr="00B34608">
              <w:rPr>
                <w:color w:val="000000"/>
                <w:sz w:val="20"/>
              </w:rPr>
              <w:t>sostinės</w:t>
            </w:r>
            <w:proofErr w:type="spellEnd"/>
            <w:r w:rsidRPr="00B34608">
              <w:rPr>
                <w:color w:val="000000"/>
                <w:sz w:val="20"/>
              </w:rPr>
              <w:t xml:space="preserve"> </w:t>
            </w:r>
            <w:proofErr w:type="spellStart"/>
            <w:r w:rsidRPr="00B34608">
              <w:rPr>
                <w:color w:val="000000"/>
                <w:sz w:val="20"/>
              </w:rPr>
              <w:t>kreditas</w:t>
            </w:r>
            <w:proofErr w:type="spellEnd"/>
            <w:r>
              <w:rPr>
                <w:i/>
                <w:sz w:val="20"/>
                <w:lang w:eastAsia="lt-LT"/>
              </w:rPr>
              <w:t xml:space="preserve"> </w:t>
            </w:r>
          </w:p>
        </w:tc>
        <w:tc>
          <w:tcPr>
            <w:tcW w:w="1701"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705BA7">
            <w:pPr>
              <w:jc w:val="right"/>
              <w:rPr>
                <w:i/>
                <w:sz w:val="20"/>
                <w:lang w:eastAsia="lt-LT"/>
              </w:rPr>
            </w:pPr>
          </w:p>
          <w:p w:rsidR="00D2569B" w:rsidRPr="00B34608" w:rsidRDefault="00D2569B" w:rsidP="00E86D8F">
            <w:pPr>
              <w:jc w:val="right"/>
              <w:rPr>
                <w:i/>
                <w:sz w:val="20"/>
                <w:lang w:eastAsia="lt-LT"/>
              </w:rPr>
            </w:pPr>
            <w:r>
              <w:rPr>
                <w:i/>
                <w:sz w:val="20"/>
                <w:lang w:eastAsia="lt-LT"/>
              </w:rPr>
              <w:t>10,</w:t>
            </w:r>
            <w:r w:rsidRPr="00B34608">
              <w:rPr>
                <w:i/>
                <w:sz w:val="20"/>
                <w:lang w:eastAsia="lt-LT"/>
              </w:rPr>
              <w:t>767</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D55227">
            <w:pPr>
              <w:jc w:val="right"/>
              <w:rPr>
                <w:i/>
                <w:sz w:val="20"/>
                <w:lang w:eastAsia="lt-LT"/>
              </w:rPr>
            </w:pPr>
            <w:r w:rsidRPr="00B34608">
              <w:rPr>
                <w:i/>
                <w:sz w:val="20"/>
                <w:lang w:eastAsia="lt-LT"/>
              </w:rPr>
              <w:t>18</w:t>
            </w:r>
            <w:r>
              <w:rPr>
                <w:i/>
                <w:sz w:val="20"/>
                <w:lang w:eastAsia="lt-LT"/>
              </w:rPr>
              <w:t>,</w:t>
            </w:r>
            <w:r w:rsidRPr="00B34608">
              <w:rPr>
                <w:i/>
                <w:sz w:val="20"/>
                <w:lang w:eastAsia="lt-LT"/>
              </w:rPr>
              <w:t>469</w:t>
            </w:r>
          </w:p>
        </w:tc>
      </w:tr>
      <w:tr w:rsidR="00D2569B" w:rsidRPr="00B34608" w:rsidTr="00CD17A9">
        <w:trPr>
          <w:trHeight w:val="255"/>
        </w:trPr>
        <w:tc>
          <w:tcPr>
            <w:tcW w:w="851" w:type="dxa"/>
            <w:tcBorders>
              <w:top w:val="nil"/>
              <w:left w:val="single" w:sz="4" w:space="0" w:color="auto"/>
              <w:bottom w:val="single" w:sz="4" w:space="0" w:color="auto"/>
              <w:right w:val="single" w:sz="4" w:space="0" w:color="auto"/>
            </w:tcBorders>
            <w:shd w:val="clear" w:color="000000" w:fill="FFFFFF"/>
          </w:tcPr>
          <w:p w:rsidR="00D2569B" w:rsidRPr="00B34608" w:rsidRDefault="00D2569B" w:rsidP="00005455">
            <w:pPr>
              <w:jc w:val="center"/>
              <w:rPr>
                <w:i/>
                <w:sz w:val="20"/>
              </w:rPr>
            </w:pPr>
            <w:r w:rsidRPr="00B34608">
              <w:rPr>
                <w:i/>
                <w:sz w:val="20"/>
              </w:rPr>
              <w:t>1.6.4.</w:t>
            </w:r>
          </w:p>
        </w:tc>
        <w:tc>
          <w:tcPr>
            <w:tcW w:w="5528" w:type="dxa"/>
            <w:tcBorders>
              <w:top w:val="nil"/>
              <w:left w:val="nil"/>
              <w:bottom w:val="single" w:sz="4" w:space="0" w:color="auto"/>
              <w:right w:val="single" w:sz="4" w:space="0" w:color="auto"/>
            </w:tcBorders>
            <w:shd w:val="clear" w:color="000000" w:fill="FFFFFF"/>
          </w:tcPr>
          <w:p w:rsidR="00D2569B" w:rsidRPr="00B34608" w:rsidRDefault="00D2569B" w:rsidP="003D48EF">
            <w:pPr>
              <w:jc w:val="both"/>
              <w:rPr>
                <w:i/>
                <w:sz w:val="20"/>
                <w:lang w:eastAsia="lt-LT"/>
              </w:rPr>
            </w:pPr>
            <w:r w:rsidRPr="00B34608">
              <w:rPr>
                <w:i/>
                <w:sz w:val="20"/>
                <w:lang w:eastAsia="lt-LT"/>
              </w:rPr>
              <w:t>A</w:t>
            </w:r>
            <w:r>
              <w:rPr>
                <w:i/>
                <w:sz w:val="20"/>
                <w:lang w:eastAsia="lt-LT"/>
              </w:rPr>
              <w:t>dvance for insurance compensations to depositors of</w:t>
            </w:r>
            <w:r w:rsidRPr="00B34608">
              <w:rPr>
                <w:i/>
                <w:sz w:val="20"/>
                <w:lang w:eastAsia="lt-LT"/>
              </w:rPr>
              <w:t xml:space="preserve"> </w:t>
            </w:r>
            <w:r w:rsidRPr="00B34608">
              <w:rPr>
                <w:color w:val="000000"/>
                <w:sz w:val="20"/>
              </w:rPr>
              <w:t>B</w:t>
            </w:r>
            <w:r>
              <w:rPr>
                <w:color w:val="000000"/>
                <w:sz w:val="20"/>
              </w:rPr>
              <w:t>CC CU</w:t>
            </w:r>
            <w:r w:rsidRPr="00B34608">
              <w:rPr>
                <w:color w:val="000000"/>
                <w:sz w:val="20"/>
              </w:rPr>
              <w:t xml:space="preserve"> </w:t>
            </w:r>
            <w:r w:rsidRPr="00B34608">
              <w:rPr>
                <w:sz w:val="20"/>
                <w:lang w:eastAsia="lt-LT"/>
              </w:rPr>
              <w:t xml:space="preserve">Vilniaus </w:t>
            </w:r>
            <w:proofErr w:type="spellStart"/>
            <w:r w:rsidRPr="00B34608">
              <w:rPr>
                <w:sz w:val="20"/>
                <w:lang w:eastAsia="lt-LT"/>
              </w:rPr>
              <w:t>taupomo</w:t>
            </w:r>
            <w:r>
              <w:rPr>
                <w:sz w:val="20"/>
                <w:lang w:eastAsia="lt-LT"/>
              </w:rPr>
              <w:t>ji</w:t>
            </w:r>
            <w:proofErr w:type="spellEnd"/>
            <w:r w:rsidRPr="00B34608">
              <w:rPr>
                <w:sz w:val="20"/>
                <w:lang w:eastAsia="lt-LT"/>
              </w:rPr>
              <w:t xml:space="preserve"> </w:t>
            </w:r>
            <w:proofErr w:type="spellStart"/>
            <w:r w:rsidRPr="00B34608">
              <w:rPr>
                <w:sz w:val="20"/>
                <w:lang w:eastAsia="lt-LT"/>
              </w:rPr>
              <w:t>kas</w:t>
            </w:r>
            <w:r>
              <w:rPr>
                <w:sz w:val="20"/>
                <w:lang w:eastAsia="lt-LT"/>
              </w:rPr>
              <w:t>a</w:t>
            </w:r>
            <w:proofErr w:type="spellEnd"/>
          </w:p>
        </w:tc>
        <w:tc>
          <w:tcPr>
            <w:tcW w:w="1701" w:type="dxa"/>
            <w:tcBorders>
              <w:top w:val="nil"/>
              <w:left w:val="nil"/>
              <w:bottom w:val="single" w:sz="4" w:space="0" w:color="auto"/>
              <w:right w:val="single" w:sz="4" w:space="0" w:color="auto"/>
            </w:tcBorders>
            <w:shd w:val="clear" w:color="000000" w:fill="FFFFFF"/>
          </w:tcPr>
          <w:p w:rsidR="00D2569B" w:rsidRPr="00B34608" w:rsidRDefault="00D2569B" w:rsidP="00705BA7">
            <w:pPr>
              <w:jc w:val="right"/>
              <w:rPr>
                <w:i/>
                <w:sz w:val="20"/>
                <w:lang w:eastAsia="lt-LT"/>
              </w:rPr>
            </w:pPr>
          </w:p>
          <w:p w:rsidR="00D2569B" w:rsidRPr="00B34608" w:rsidRDefault="00D2569B" w:rsidP="00E86D8F">
            <w:pPr>
              <w:jc w:val="right"/>
              <w:rPr>
                <w:i/>
                <w:sz w:val="20"/>
                <w:lang w:eastAsia="lt-LT"/>
              </w:rPr>
            </w:pPr>
            <w:r>
              <w:rPr>
                <w:i/>
                <w:sz w:val="20"/>
                <w:lang w:eastAsia="lt-LT"/>
              </w:rPr>
              <w:t>151,</w:t>
            </w:r>
            <w:r w:rsidRPr="00B34608">
              <w:rPr>
                <w:i/>
                <w:sz w:val="20"/>
                <w:lang w:eastAsia="lt-LT"/>
              </w:rPr>
              <w:t>987</w:t>
            </w:r>
          </w:p>
        </w:tc>
        <w:tc>
          <w:tcPr>
            <w:tcW w:w="1418" w:type="dxa"/>
            <w:tcBorders>
              <w:top w:val="nil"/>
              <w:left w:val="nil"/>
              <w:bottom w:val="single" w:sz="4" w:space="0" w:color="auto"/>
              <w:right w:val="single" w:sz="4" w:space="0" w:color="auto"/>
            </w:tcBorders>
            <w:shd w:val="clear" w:color="000000" w:fill="FFFFFF"/>
            <w:vAlign w:val="bottom"/>
          </w:tcPr>
          <w:p w:rsidR="00D2569B" w:rsidRPr="00B34608" w:rsidRDefault="00D2569B" w:rsidP="00D55227">
            <w:pPr>
              <w:jc w:val="right"/>
              <w:rPr>
                <w:i/>
                <w:sz w:val="20"/>
                <w:lang w:eastAsia="lt-LT"/>
              </w:rPr>
            </w:pPr>
            <w:r w:rsidRPr="00B34608">
              <w:rPr>
                <w:i/>
                <w:sz w:val="20"/>
                <w:lang w:eastAsia="lt-LT"/>
              </w:rPr>
              <w:t>308</w:t>
            </w:r>
            <w:r>
              <w:rPr>
                <w:i/>
                <w:sz w:val="20"/>
                <w:lang w:eastAsia="lt-LT"/>
              </w:rPr>
              <w:t>,</w:t>
            </w:r>
            <w:r w:rsidRPr="00B34608">
              <w:rPr>
                <w:i/>
                <w:sz w:val="20"/>
                <w:lang w:eastAsia="lt-LT"/>
              </w:rPr>
              <w:t>200</w:t>
            </w:r>
          </w:p>
        </w:tc>
      </w:tr>
      <w:tr w:rsidR="00D2569B" w:rsidRPr="00B34608" w:rsidTr="00CD17A9">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D2569B" w:rsidRPr="00B34608" w:rsidRDefault="00D2569B" w:rsidP="00005455">
            <w:pPr>
              <w:jc w:val="center"/>
              <w:rPr>
                <w:i/>
                <w:sz w:val="20"/>
              </w:rPr>
            </w:pPr>
            <w:r w:rsidRPr="00B34608">
              <w:rPr>
                <w:i/>
                <w:sz w:val="20"/>
              </w:rPr>
              <w:t>1.6.5.</w:t>
            </w:r>
          </w:p>
        </w:tc>
        <w:tc>
          <w:tcPr>
            <w:tcW w:w="5528"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3D48EF">
            <w:pPr>
              <w:jc w:val="both"/>
              <w:rPr>
                <w:i/>
                <w:sz w:val="20"/>
                <w:lang w:eastAsia="lt-LT"/>
              </w:rPr>
            </w:pPr>
            <w:r w:rsidRPr="00B34608">
              <w:rPr>
                <w:i/>
                <w:sz w:val="20"/>
                <w:lang w:eastAsia="lt-LT"/>
              </w:rPr>
              <w:t>A</w:t>
            </w:r>
            <w:r>
              <w:rPr>
                <w:i/>
                <w:sz w:val="20"/>
                <w:lang w:eastAsia="lt-LT"/>
              </w:rPr>
              <w:t>dvance for insurance compensations to depositors of</w:t>
            </w:r>
            <w:r w:rsidRPr="00B34608">
              <w:rPr>
                <w:i/>
                <w:sz w:val="20"/>
                <w:lang w:eastAsia="lt-LT"/>
              </w:rPr>
              <w:t xml:space="preserve"> </w:t>
            </w:r>
            <w:r w:rsidRPr="00B34608">
              <w:rPr>
                <w:color w:val="000000"/>
                <w:sz w:val="20"/>
              </w:rPr>
              <w:t>B</w:t>
            </w:r>
            <w:r>
              <w:rPr>
                <w:color w:val="000000"/>
                <w:sz w:val="20"/>
              </w:rPr>
              <w:t>CC CU</w:t>
            </w:r>
            <w:r w:rsidRPr="00B34608">
              <w:rPr>
                <w:color w:val="000000"/>
                <w:sz w:val="20"/>
              </w:rPr>
              <w:t xml:space="preserve"> </w:t>
            </w:r>
            <w:proofErr w:type="spellStart"/>
            <w:r w:rsidRPr="00B34608">
              <w:rPr>
                <w:color w:val="000000"/>
                <w:sz w:val="20"/>
              </w:rPr>
              <w:t>Naftininkų</w:t>
            </w:r>
            <w:proofErr w:type="spellEnd"/>
            <w:r w:rsidRPr="00B34608">
              <w:rPr>
                <w:color w:val="000000"/>
                <w:sz w:val="20"/>
              </w:rPr>
              <w:t xml:space="preserve"> </w:t>
            </w:r>
            <w:proofErr w:type="spellStart"/>
            <w:r w:rsidRPr="00B34608">
              <w:rPr>
                <w:color w:val="000000"/>
                <w:sz w:val="20"/>
              </w:rPr>
              <w:t>investicijos</w:t>
            </w:r>
            <w:proofErr w:type="spellEnd"/>
            <w:r w:rsidRPr="00B34608">
              <w:rPr>
                <w:sz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CC2105">
            <w:pPr>
              <w:jc w:val="right"/>
              <w:rPr>
                <w:i/>
                <w:sz w:val="20"/>
                <w:lang w:eastAsia="lt-LT"/>
              </w:rPr>
            </w:pPr>
            <w:r w:rsidRPr="00B34608">
              <w:rPr>
                <w:i/>
                <w:sz w:val="20"/>
                <w:lang w:eastAsia="lt-LT"/>
              </w:rPr>
              <w:t>19</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CC2105">
            <w:pPr>
              <w:jc w:val="right"/>
              <w:rPr>
                <w:i/>
                <w:sz w:val="20"/>
                <w:lang w:eastAsia="lt-LT"/>
              </w:rPr>
            </w:pPr>
            <w:r w:rsidRPr="00B34608">
              <w:rPr>
                <w:i/>
                <w:sz w:val="20"/>
                <w:lang w:eastAsia="lt-LT"/>
              </w:rPr>
              <w:t>19</w:t>
            </w:r>
          </w:p>
        </w:tc>
      </w:tr>
      <w:tr w:rsidR="00D2569B" w:rsidRPr="00B34608" w:rsidTr="00CD17A9">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D2569B" w:rsidRPr="00B34608" w:rsidRDefault="00D2569B" w:rsidP="00005455">
            <w:pPr>
              <w:jc w:val="center"/>
              <w:rPr>
                <w:i/>
                <w:sz w:val="20"/>
              </w:rPr>
            </w:pPr>
            <w:r w:rsidRPr="00B34608">
              <w:rPr>
                <w:i/>
                <w:sz w:val="20"/>
              </w:rPr>
              <w:t>1.6.6..</w:t>
            </w:r>
          </w:p>
        </w:tc>
        <w:tc>
          <w:tcPr>
            <w:tcW w:w="5528"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3D48EF">
            <w:pPr>
              <w:jc w:val="both"/>
              <w:rPr>
                <w:i/>
                <w:sz w:val="20"/>
                <w:lang w:eastAsia="lt-LT"/>
              </w:rPr>
            </w:pPr>
            <w:r w:rsidRPr="00B34608">
              <w:rPr>
                <w:i/>
                <w:sz w:val="20"/>
                <w:lang w:eastAsia="lt-LT"/>
              </w:rPr>
              <w:t>A</w:t>
            </w:r>
            <w:r>
              <w:rPr>
                <w:i/>
                <w:sz w:val="20"/>
                <w:lang w:eastAsia="lt-LT"/>
              </w:rPr>
              <w:t xml:space="preserve">dvance for insurance compensations to </w:t>
            </w:r>
            <w:r w:rsidRPr="008F4766">
              <w:rPr>
                <w:i/>
                <w:sz w:val="20"/>
                <w:lang w:eastAsia="lt-LT"/>
              </w:rPr>
              <w:t>depositors of</w:t>
            </w:r>
            <w:r w:rsidRPr="00B34608">
              <w:rPr>
                <w:i/>
                <w:sz w:val="20"/>
                <w:lang w:eastAsia="lt-LT"/>
              </w:rPr>
              <w:t xml:space="preserve"> </w:t>
            </w:r>
            <w:r>
              <w:rPr>
                <w:sz w:val="20"/>
                <w:lang w:eastAsia="lt-LT"/>
              </w:rPr>
              <w:t>BC</w:t>
            </w:r>
            <w:r w:rsidRPr="00B34608">
              <w:rPr>
                <w:sz w:val="20"/>
                <w:lang w:eastAsia="lt-LT"/>
              </w:rPr>
              <w:t>U Amber</w:t>
            </w:r>
          </w:p>
        </w:tc>
        <w:tc>
          <w:tcPr>
            <w:tcW w:w="1701"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705BA7">
            <w:pPr>
              <w:jc w:val="right"/>
              <w:rPr>
                <w:i/>
                <w:sz w:val="20"/>
                <w:lang w:eastAsia="lt-LT"/>
              </w:rPr>
            </w:pPr>
            <w:r w:rsidRPr="00B34608">
              <w:rPr>
                <w:i/>
                <w:sz w:val="20"/>
                <w:lang w:eastAsia="lt-LT"/>
              </w:rPr>
              <w:t>368</w:t>
            </w:r>
            <w:r>
              <w:rPr>
                <w:i/>
                <w:sz w:val="20"/>
                <w:lang w:eastAsia="lt-LT"/>
              </w:rPr>
              <w:t>,</w:t>
            </w:r>
            <w:r w:rsidRPr="00B34608">
              <w:rPr>
                <w:i/>
                <w:sz w:val="20"/>
                <w:lang w:eastAsia="lt-LT"/>
              </w:rPr>
              <w:t>580</w:t>
            </w:r>
          </w:p>
        </w:tc>
        <w:tc>
          <w:tcPr>
            <w:tcW w:w="1418"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D55227">
            <w:pPr>
              <w:jc w:val="right"/>
              <w:rPr>
                <w:i/>
                <w:sz w:val="20"/>
                <w:lang w:eastAsia="lt-LT"/>
              </w:rPr>
            </w:pPr>
            <w:r w:rsidRPr="00B34608">
              <w:rPr>
                <w:i/>
                <w:sz w:val="20"/>
                <w:lang w:eastAsia="lt-LT"/>
              </w:rPr>
              <w:t>1</w:t>
            </w:r>
            <w:r>
              <w:rPr>
                <w:i/>
                <w:sz w:val="20"/>
                <w:lang w:eastAsia="lt-LT"/>
              </w:rPr>
              <w:t>,</w:t>
            </w:r>
            <w:r w:rsidRPr="00B34608">
              <w:rPr>
                <w:i/>
                <w:sz w:val="20"/>
                <w:lang w:eastAsia="lt-LT"/>
              </w:rPr>
              <w:t>523</w:t>
            </w:r>
            <w:r>
              <w:rPr>
                <w:i/>
                <w:sz w:val="20"/>
                <w:lang w:eastAsia="lt-LT"/>
              </w:rPr>
              <w:t>,</w:t>
            </w:r>
            <w:r w:rsidRPr="00B34608">
              <w:rPr>
                <w:i/>
                <w:sz w:val="20"/>
                <w:lang w:eastAsia="lt-LT"/>
              </w:rPr>
              <w:t>988</w:t>
            </w:r>
          </w:p>
        </w:tc>
      </w:tr>
      <w:tr w:rsidR="00D2569B" w:rsidRPr="00B34608" w:rsidTr="00CD17A9">
        <w:trPr>
          <w:trHeight w:val="255"/>
        </w:trPr>
        <w:tc>
          <w:tcPr>
            <w:tcW w:w="851"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8B517A">
            <w:pPr>
              <w:tabs>
                <w:tab w:val="left" w:pos="0"/>
              </w:tabs>
              <w:jc w:val="center"/>
              <w:rPr>
                <w:i/>
                <w:sz w:val="20"/>
              </w:rPr>
            </w:pPr>
            <w:r w:rsidRPr="00B34608">
              <w:rPr>
                <w:i/>
                <w:sz w:val="20"/>
              </w:rPr>
              <w:t>1.6.7.</w:t>
            </w:r>
          </w:p>
        </w:tc>
        <w:tc>
          <w:tcPr>
            <w:tcW w:w="5528" w:type="dxa"/>
            <w:tcBorders>
              <w:top w:val="nil"/>
              <w:left w:val="nil"/>
              <w:bottom w:val="single" w:sz="4" w:space="0" w:color="auto"/>
              <w:right w:val="single" w:sz="4" w:space="0" w:color="auto"/>
            </w:tcBorders>
            <w:shd w:val="clear" w:color="000000" w:fill="FFFFFF"/>
          </w:tcPr>
          <w:p w:rsidR="00D2569B" w:rsidRPr="00B34608" w:rsidRDefault="00D2569B" w:rsidP="00EA0939">
            <w:pPr>
              <w:tabs>
                <w:tab w:val="left" w:pos="0"/>
              </w:tabs>
              <w:rPr>
                <w:i/>
                <w:sz w:val="20"/>
              </w:rPr>
            </w:pPr>
            <w:r w:rsidRPr="00B34608">
              <w:rPr>
                <w:i/>
                <w:sz w:val="20"/>
              </w:rPr>
              <w:t>A</w:t>
            </w:r>
            <w:r>
              <w:rPr>
                <w:i/>
                <w:sz w:val="20"/>
              </w:rPr>
              <w:t>dvance to the Company</w:t>
            </w:r>
            <w:r w:rsidRPr="00B34608">
              <w:rPr>
                <w:i/>
                <w:sz w:val="20"/>
              </w:rPr>
              <w:t xml:space="preserve"> </w:t>
            </w:r>
          </w:p>
        </w:tc>
        <w:tc>
          <w:tcPr>
            <w:tcW w:w="1701" w:type="dxa"/>
            <w:tcBorders>
              <w:top w:val="nil"/>
              <w:left w:val="nil"/>
              <w:bottom w:val="single" w:sz="4" w:space="0" w:color="auto"/>
              <w:right w:val="single" w:sz="4" w:space="0" w:color="auto"/>
            </w:tcBorders>
            <w:shd w:val="clear" w:color="000000" w:fill="FFFFFF"/>
            <w:vAlign w:val="bottom"/>
          </w:tcPr>
          <w:p w:rsidR="00D2569B" w:rsidRPr="00B34608" w:rsidRDefault="00D2569B" w:rsidP="00705BA7">
            <w:pPr>
              <w:tabs>
                <w:tab w:val="left" w:pos="0"/>
              </w:tabs>
              <w:jc w:val="right"/>
              <w:rPr>
                <w:i/>
                <w:sz w:val="20"/>
              </w:rPr>
            </w:pPr>
            <w:r w:rsidRPr="00B34608">
              <w:rPr>
                <w:i/>
                <w:sz w:val="20"/>
              </w:rPr>
              <w:t>0</w:t>
            </w:r>
          </w:p>
        </w:tc>
        <w:tc>
          <w:tcPr>
            <w:tcW w:w="1418" w:type="dxa"/>
            <w:tcBorders>
              <w:top w:val="nil"/>
              <w:left w:val="nil"/>
              <w:bottom w:val="single" w:sz="4" w:space="0" w:color="auto"/>
              <w:right w:val="single" w:sz="4" w:space="0" w:color="auto"/>
            </w:tcBorders>
            <w:shd w:val="clear" w:color="000000" w:fill="FFFFFF"/>
          </w:tcPr>
          <w:p w:rsidR="00D2569B" w:rsidRPr="00B34608" w:rsidRDefault="00D2569B" w:rsidP="00705BA7">
            <w:pPr>
              <w:tabs>
                <w:tab w:val="left" w:pos="0"/>
              </w:tabs>
              <w:jc w:val="right"/>
              <w:rPr>
                <w:i/>
                <w:sz w:val="20"/>
              </w:rPr>
            </w:pPr>
            <w:r w:rsidRPr="00B34608">
              <w:rPr>
                <w:i/>
                <w:sz w:val="20"/>
              </w:rPr>
              <w:t>13</w:t>
            </w:r>
            <w:r>
              <w:rPr>
                <w:i/>
                <w:sz w:val="20"/>
              </w:rPr>
              <w:t>,</w:t>
            </w:r>
            <w:r w:rsidRPr="00B34608">
              <w:rPr>
                <w:i/>
                <w:sz w:val="20"/>
              </w:rPr>
              <w:t>645</w:t>
            </w:r>
          </w:p>
        </w:tc>
      </w:tr>
      <w:tr w:rsidR="00D2569B" w:rsidRPr="00B34608" w:rsidTr="00CD17A9">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D2569B" w:rsidRPr="00B34608" w:rsidRDefault="00D2569B" w:rsidP="008B517A">
            <w:pPr>
              <w:tabs>
                <w:tab w:val="left" w:pos="0"/>
              </w:tabs>
              <w:jc w:val="center"/>
              <w:rPr>
                <w:i/>
                <w:sz w:val="20"/>
              </w:rPr>
            </w:pPr>
            <w:r w:rsidRPr="00B34608">
              <w:rPr>
                <w:i/>
                <w:sz w:val="20"/>
              </w:rPr>
              <w:t>1.6.8.</w:t>
            </w:r>
          </w:p>
        </w:tc>
        <w:tc>
          <w:tcPr>
            <w:tcW w:w="5528"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D55227">
            <w:pPr>
              <w:tabs>
                <w:tab w:val="left" w:pos="0"/>
              </w:tabs>
              <w:rPr>
                <w:sz w:val="20"/>
              </w:rPr>
            </w:pPr>
            <w:r w:rsidRPr="00B34608">
              <w:rPr>
                <w:i/>
                <w:sz w:val="20"/>
                <w:lang w:eastAsia="lt-LT"/>
              </w:rPr>
              <w:t>A</w:t>
            </w:r>
            <w:r>
              <w:rPr>
                <w:i/>
                <w:sz w:val="20"/>
                <w:lang w:eastAsia="lt-LT"/>
              </w:rPr>
              <w:t xml:space="preserve">dvance for insurance compensations to </w:t>
            </w:r>
            <w:r w:rsidRPr="008F4766">
              <w:rPr>
                <w:i/>
                <w:sz w:val="20"/>
                <w:lang w:eastAsia="lt-LT"/>
              </w:rPr>
              <w:t>depositors of</w:t>
            </w:r>
            <w:r w:rsidRPr="00B34608">
              <w:rPr>
                <w:i/>
                <w:sz w:val="20"/>
                <w:lang w:eastAsia="lt-LT"/>
              </w:rPr>
              <w:t xml:space="preserve"> </w:t>
            </w:r>
            <w:r>
              <w:rPr>
                <w:sz w:val="20"/>
                <w:lang w:eastAsia="lt-LT"/>
              </w:rPr>
              <w:t>BC</w:t>
            </w:r>
            <w:r w:rsidRPr="00B34608">
              <w:rPr>
                <w:sz w:val="20"/>
                <w:lang w:eastAsia="lt-LT"/>
              </w:rPr>
              <w:t xml:space="preserve">U </w:t>
            </w:r>
            <w:proofErr w:type="spellStart"/>
            <w:r w:rsidRPr="00B34608">
              <w:rPr>
                <w:sz w:val="20"/>
              </w:rPr>
              <w:t>Žemaitij</w:t>
            </w:r>
            <w:r>
              <w:rPr>
                <w:sz w:val="20"/>
              </w:rPr>
              <w:t>os</w:t>
            </w:r>
            <w:proofErr w:type="spellEnd"/>
            <w:r w:rsidRPr="00B34608">
              <w:rPr>
                <w:sz w:val="20"/>
              </w:rPr>
              <w:t xml:space="preserve"> </w:t>
            </w:r>
            <w:proofErr w:type="spellStart"/>
            <w:r w:rsidRPr="00B34608">
              <w:rPr>
                <w:sz w:val="20"/>
              </w:rPr>
              <w:t>iždas</w:t>
            </w:r>
            <w:proofErr w:type="spellEnd"/>
          </w:p>
        </w:tc>
        <w:tc>
          <w:tcPr>
            <w:tcW w:w="1701"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705BA7">
            <w:pPr>
              <w:tabs>
                <w:tab w:val="left" w:pos="0"/>
              </w:tabs>
              <w:jc w:val="right"/>
              <w:rPr>
                <w:i/>
                <w:sz w:val="20"/>
              </w:rPr>
            </w:pPr>
            <w:r>
              <w:rPr>
                <w:i/>
                <w:sz w:val="20"/>
              </w:rPr>
              <w:t>4,</w:t>
            </w:r>
            <w:r w:rsidRPr="00B34608">
              <w:rPr>
                <w:i/>
                <w:sz w:val="20"/>
              </w:rPr>
              <w:t>085</w:t>
            </w:r>
          </w:p>
        </w:tc>
        <w:tc>
          <w:tcPr>
            <w:tcW w:w="1418"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705BA7">
            <w:pPr>
              <w:tabs>
                <w:tab w:val="left" w:pos="0"/>
              </w:tabs>
              <w:jc w:val="right"/>
              <w:rPr>
                <w:i/>
                <w:sz w:val="20"/>
              </w:rPr>
            </w:pPr>
          </w:p>
        </w:tc>
      </w:tr>
      <w:tr w:rsidR="00D2569B" w:rsidRPr="00B34608" w:rsidTr="00CD17A9">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D2569B" w:rsidRPr="00B34608" w:rsidRDefault="00D2569B" w:rsidP="008B517A">
            <w:pPr>
              <w:tabs>
                <w:tab w:val="left" w:pos="0"/>
              </w:tabs>
              <w:jc w:val="center"/>
              <w:rPr>
                <w:i/>
                <w:sz w:val="20"/>
              </w:rPr>
            </w:pPr>
            <w:r w:rsidRPr="00B34608">
              <w:rPr>
                <w:i/>
                <w:sz w:val="20"/>
              </w:rPr>
              <w:t>1.6.9.</w:t>
            </w:r>
          </w:p>
        </w:tc>
        <w:tc>
          <w:tcPr>
            <w:tcW w:w="5528"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EA0939">
            <w:pPr>
              <w:tabs>
                <w:tab w:val="left" w:pos="0"/>
              </w:tabs>
              <w:rPr>
                <w:sz w:val="20"/>
              </w:rPr>
            </w:pPr>
            <w:r w:rsidRPr="00B34608">
              <w:rPr>
                <w:i/>
                <w:sz w:val="20"/>
                <w:lang w:eastAsia="lt-LT"/>
              </w:rPr>
              <w:t>A</w:t>
            </w:r>
            <w:r>
              <w:rPr>
                <w:i/>
                <w:sz w:val="20"/>
                <w:lang w:eastAsia="lt-LT"/>
              </w:rPr>
              <w:t xml:space="preserve">dvance for insurance compensations to </w:t>
            </w:r>
            <w:r w:rsidRPr="008F4766">
              <w:rPr>
                <w:i/>
                <w:sz w:val="20"/>
                <w:lang w:eastAsia="lt-LT"/>
              </w:rPr>
              <w:t>depositors of</w:t>
            </w:r>
            <w:r w:rsidRPr="00B34608">
              <w:rPr>
                <w:i/>
                <w:sz w:val="20"/>
                <w:lang w:eastAsia="lt-LT"/>
              </w:rPr>
              <w:t xml:space="preserve"> </w:t>
            </w:r>
            <w:r>
              <w:rPr>
                <w:sz w:val="20"/>
                <w:lang w:eastAsia="lt-LT"/>
              </w:rPr>
              <w:t>BC</w:t>
            </w:r>
            <w:r w:rsidRPr="00B34608">
              <w:rPr>
                <w:sz w:val="20"/>
                <w:lang w:eastAsia="lt-LT"/>
              </w:rPr>
              <w:t xml:space="preserve">U </w:t>
            </w:r>
            <w:proofErr w:type="spellStart"/>
            <w:r w:rsidRPr="00B34608">
              <w:rPr>
                <w:sz w:val="20"/>
              </w:rPr>
              <w:t>Pajūrio</w:t>
            </w:r>
            <w:proofErr w:type="spellEnd"/>
            <w:r w:rsidRPr="00B34608">
              <w:rPr>
                <w:sz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705BA7">
            <w:pPr>
              <w:tabs>
                <w:tab w:val="left" w:pos="0"/>
              </w:tabs>
              <w:jc w:val="right"/>
              <w:rPr>
                <w:i/>
                <w:sz w:val="20"/>
              </w:rPr>
            </w:pPr>
            <w:r w:rsidRPr="00B34608">
              <w:rPr>
                <w:i/>
                <w:sz w:val="20"/>
              </w:rPr>
              <w:t>93</w:t>
            </w:r>
            <w:r>
              <w:rPr>
                <w:i/>
                <w:sz w:val="20"/>
              </w:rPr>
              <w:t>,</w:t>
            </w:r>
            <w:r w:rsidRPr="00B34608">
              <w:rPr>
                <w:i/>
                <w:sz w:val="20"/>
              </w:rPr>
              <w:t>129</w:t>
            </w:r>
          </w:p>
        </w:tc>
        <w:tc>
          <w:tcPr>
            <w:tcW w:w="1418"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705BA7">
            <w:pPr>
              <w:tabs>
                <w:tab w:val="left" w:pos="0"/>
              </w:tabs>
              <w:jc w:val="right"/>
              <w:rPr>
                <w:i/>
                <w:sz w:val="20"/>
              </w:rPr>
            </w:pPr>
          </w:p>
        </w:tc>
      </w:tr>
      <w:tr w:rsidR="00D2569B" w:rsidRPr="00B34608" w:rsidTr="00CD17A9">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D2569B" w:rsidRPr="00B34608" w:rsidRDefault="00D2569B" w:rsidP="008B517A">
            <w:pPr>
              <w:tabs>
                <w:tab w:val="left" w:pos="0"/>
              </w:tabs>
              <w:jc w:val="center"/>
              <w:rPr>
                <w:i/>
                <w:sz w:val="20"/>
              </w:rPr>
            </w:pPr>
            <w:r w:rsidRPr="00B34608">
              <w:rPr>
                <w:i/>
                <w:sz w:val="20"/>
              </w:rPr>
              <w:t>1.6.10.</w:t>
            </w:r>
          </w:p>
        </w:tc>
        <w:tc>
          <w:tcPr>
            <w:tcW w:w="5528"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EA0939">
            <w:pPr>
              <w:tabs>
                <w:tab w:val="left" w:pos="0"/>
              </w:tabs>
              <w:rPr>
                <w:sz w:val="20"/>
              </w:rPr>
            </w:pPr>
            <w:r w:rsidRPr="00B34608">
              <w:rPr>
                <w:i/>
                <w:sz w:val="20"/>
                <w:lang w:eastAsia="lt-LT"/>
              </w:rPr>
              <w:t>A</w:t>
            </w:r>
            <w:r>
              <w:rPr>
                <w:i/>
                <w:sz w:val="20"/>
                <w:lang w:eastAsia="lt-LT"/>
              </w:rPr>
              <w:t xml:space="preserve">dvance for insurance compensations to </w:t>
            </w:r>
            <w:r w:rsidRPr="008F4766">
              <w:rPr>
                <w:i/>
                <w:sz w:val="20"/>
                <w:lang w:eastAsia="lt-LT"/>
              </w:rPr>
              <w:t>depositors of</w:t>
            </w:r>
            <w:r w:rsidRPr="00B34608">
              <w:rPr>
                <w:i/>
                <w:sz w:val="20"/>
                <w:lang w:eastAsia="lt-LT"/>
              </w:rPr>
              <w:t xml:space="preserve"> </w:t>
            </w:r>
            <w:r>
              <w:rPr>
                <w:sz w:val="20"/>
                <w:lang w:eastAsia="lt-LT"/>
              </w:rPr>
              <w:t>BC</w:t>
            </w:r>
            <w:r w:rsidRPr="00B34608">
              <w:rPr>
                <w:sz w:val="20"/>
                <w:lang w:eastAsia="lt-LT"/>
              </w:rPr>
              <w:t xml:space="preserve">U </w:t>
            </w:r>
            <w:proofErr w:type="spellStart"/>
            <w:r w:rsidRPr="00B34608">
              <w:rPr>
                <w:sz w:val="20"/>
              </w:rPr>
              <w:t>Namų</w:t>
            </w:r>
            <w:proofErr w:type="spellEnd"/>
            <w:r w:rsidRPr="00B34608">
              <w:rPr>
                <w:sz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705BA7">
            <w:pPr>
              <w:tabs>
                <w:tab w:val="left" w:pos="0"/>
              </w:tabs>
              <w:jc w:val="right"/>
              <w:rPr>
                <w:i/>
                <w:sz w:val="20"/>
              </w:rPr>
            </w:pPr>
            <w:r w:rsidRPr="00B34608">
              <w:rPr>
                <w:i/>
                <w:sz w:val="20"/>
              </w:rPr>
              <w:t>288</w:t>
            </w:r>
            <w:r>
              <w:rPr>
                <w:i/>
                <w:sz w:val="20"/>
              </w:rPr>
              <w:t>,</w:t>
            </w:r>
            <w:r w:rsidRPr="00B34608">
              <w:rPr>
                <w:i/>
                <w:sz w:val="20"/>
              </w:rPr>
              <w:t>275</w:t>
            </w:r>
          </w:p>
        </w:tc>
        <w:tc>
          <w:tcPr>
            <w:tcW w:w="1418"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705BA7">
            <w:pPr>
              <w:tabs>
                <w:tab w:val="left" w:pos="0"/>
              </w:tabs>
              <w:jc w:val="right"/>
              <w:rPr>
                <w:i/>
                <w:sz w:val="20"/>
              </w:rPr>
            </w:pPr>
          </w:p>
        </w:tc>
      </w:tr>
      <w:tr w:rsidR="00D2569B" w:rsidRPr="00B34608" w:rsidTr="00CD17A9">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D2569B" w:rsidRPr="00B34608" w:rsidRDefault="00D2569B" w:rsidP="008B517A">
            <w:pPr>
              <w:tabs>
                <w:tab w:val="left" w:pos="0"/>
              </w:tabs>
              <w:jc w:val="center"/>
              <w:rPr>
                <w:i/>
                <w:sz w:val="20"/>
              </w:rPr>
            </w:pPr>
            <w:r w:rsidRPr="00B34608">
              <w:rPr>
                <w:i/>
                <w:sz w:val="20"/>
              </w:rPr>
              <w:t>1.6.11.</w:t>
            </w:r>
          </w:p>
        </w:tc>
        <w:tc>
          <w:tcPr>
            <w:tcW w:w="5528"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EA0939">
            <w:pPr>
              <w:tabs>
                <w:tab w:val="left" w:pos="0"/>
              </w:tabs>
              <w:rPr>
                <w:sz w:val="20"/>
              </w:rPr>
            </w:pPr>
            <w:r w:rsidRPr="00B34608">
              <w:rPr>
                <w:i/>
                <w:sz w:val="20"/>
                <w:lang w:eastAsia="lt-LT"/>
              </w:rPr>
              <w:t>A</w:t>
            </w:r>
            <w:r>
              <w:rPr>
                <w:i/>
                <w:sz w:val="20"/>
                <w:lang w:eastAsia="lt-LT"/>
              </w:rPr>
              <w:t xml:space="preserve">dvance for insurance compensations to </w:t>
            </w:r>
            <w:r w:rsidRPr="008F4766">
              <w:rPr>
                <w:i/>
                <w:sz w:val="20"/>
                <w:lang w:eastAsia="lt-LT"/>
              </w:rPr>
              <w:t>depositors of</w:t>
            </w:r>
            <w:r w:rsidRPr="00B34608">
              <w:rPr>
                <w:i/>
                <w:sz w:val="20"/>
                <w:lang w:eastAsia="lt-LT"/>
              </w:rPr>
              <w:t xml:space="preserve"> </w:t>
            </w:r>
            <w:r>
              <w:rPr>
                <w:sz w:val="20"/>
                <w:lang w:eastAsia="lt-LT"/>
              </w:rPr>
              <w:t>BC</w:t>
            </w:r>
            <w:r w:rsidRPr="00B34608">
              <w:rPr>
                <w:sz w:val="20"/>
                <w:lang w:eastAsia="lt-LT"/>
              </w:rPr>
              <w:t xml:space="preserve">U </w:t>
            </w:r>
            <w:proofErr w:type="spellStart"/>
            <w:r w:rsidRPr="00B34608">
              <w:rPr>
                <w:sz w:val="20"/>
              </w:rPr>
              <w:t>Baltija</w:t>
            </w:r>
            <w:proofErr w:type="spellEnd"/>
            <w:r w:rsidRPr="00B34608">
              <w:rPr>
                <w:sz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705BA7">
            <w:pPr>
              <w:tabs>
                <w:tab w:val="left" w:pos="0"/>
              </w:tabs>
              <w:jc w:val="right"/>
              <w:rPr>
                <w:i/>
                <w:sz w:val="20"/>
              </w:rPr>
            </w:pPr>
            <w:r w:rsidRPr="00B34608">
              <w:rPr>
                <w:i/>
                <w:sz w:val="20"/>
              </w:rPr>
              <w:t>1</w:t>
            </w:r>
            <w:r>
              <w:rPr>
                <w:i/>
                <w:sz w:val="20"/>
              </w:rPr>
              <w:t>,</w:t>
            </w:r>
            <w:r w:rsidRPr="00B34608">
              <w:rPr>
                <w:i/>
                <w:sz w:val="20"/>
              </w:rPr>
              <w:t>178</w:t>
            </w:r>
            <w:r>
              <w:rPr>
                <w:i/>
                <w:sz w:val="20"/>
              </w:rPr>
              <w:t>,</w:t>
            </w:r>
            <w:r w:rsidRPr="00B34608">
              <w:rPr>
                <w:i/>
                <w:sz w:val="20"/>
              </w:rPr>
              <w:t>136</w:t>
            </w:r>
          </w:p>
        </w:tc>
        <w:tc>
          <w:tcPr>
            <w:tcW w:w="1418"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705BA7">
            <w:pPr>
              <w:tabs>
                <w:tab w:val="left" w:pos="0"/>
              </w:tabs>
              <w:jc w:val="right"/>
              <w:rPr>
                <w:i/>
                <w:sz w:val="20"/>
              </w:rPr>
            </w:pPr>
          </w:p>
        </w:tc>
      </w:tr>
      <w:tr w:rsidR="00D2569B" w:rsidRPr="00B34608" w:rsidTr="00CD17A9">
        <w:trPr>
          <w:trHeight w:val="255"/>
        </w:trPr>
        <w:tc>
          <w:tcPr>
            <w:tcW w:w="851"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8B517A">
            <w:pPr>
              <w:tabs>
                <w:tab w:val="left" w:pos="0"/>
              </w:tabs>
              <w:jc w:val="center"/>
              <w:rPr>
                <w:i/>
                <w:sz w:val="20"/>
              </w:rPr>
            </w:pPr>
            <w:r w:rsidRPr="00B34608">
              <w:rPr>
                <w:i/>
                <w:sz w:val="20"/>
              </w:rPr>
              <w:t>1.6.12</w:t>
            </w:r>
          </w:p>
        </w:tc>
        <w:tc>
          <w:tcPr>
            <w:tcW w:w="5528" w:type="dxa"/>
            <w:tcBorders>
              <w:top w:val="nil"/>
              <w:left w:val="nil"/>
              <w:bottom w:val="single" w:sz="4" w:space="0" w:color="auto"/>
              <w:right w:val="single" w:sz="4" w:space="0" w:color="auto"/>
            </w:tcBorders>
            <w:shd w:val="clear" w:color="000000" w:fill="FFFFFF"/>
          </w:tcPr>
          <w:p w:rsidR="00D2569B" w:rsidRPr="00B34608" w:rsidRDefault="00D2569B" w:rsidP="00EA0939">
            <w:pPr>
              <w:tabs>
                <w:tab w:val="left" w:pos="0"/>
              </w:tabs>
              <w:rPr>
                <w:sz w:val="20"/>
              </w:rPr>
            </w:pPr>
            <w:r w:rsidRPr="00B34608">
              <w:rPr>
                <w:i/>
                <w:sz w:val="20"/>
                <w:lang w:eastAsia="lt-LT"/>
              </w:rPr>
              <w:t>A</w:t>
            </w:r>
            <w:r>
              <w:rPr>
                <w:i/>
                <w:sz w:val="20"/>
                <w:lang w:eastAsia="lt-LT"/>
              </w:rPr>
              <w:t xml:space="preserve">dvance for insurance compensations to </w:t>
            </w:r>
            <w:r w:rsidRPr="008F4766">
              <w:rPr>
                <w:i/>
                <w:sz w:val="20"/>
                <w:lang w:eastAsia="lt-LT"/>
              </w:rPr>
              <w:t>depositors of</w:t>
            </w:r>
            <w:r w:rsidRPr="00B34608">
              <w:rPr>
                <w:i/>
                <w:sz w:val="20"/>
                <w:lang w:eastAsia="lt-LT"/>
              </w:rPr>
              <w:t xml:space="preserve"> </w:t>
            </w:r>
            <w:r>
              <w:rPr>
                <w:sz w:val="20"/>
                <w:lang w:eastAsia="lt-LT"/>
              </w:rPr>
              <w:t>BC</w:t>
            </w:r>
            <w:r w:rsidRPr="00B34608">
              <w:rPr>
                <w:sz w:val="20"/>
                <w:lang w:eastAsia="lt-LT"/>
              </w:rPr>
              <w:t xml:space="preserve">U </w:t>
            </w:r>
            <w:r w:rsidRPr="00B34608">
              <w:rPr>
                <w:sz w:val="20"/>
              </w:rPr>
              <w:t xml:space="preserve">Vilniaus </w:t>
            </w:r>
            <w:proofErr w:type="spellStart"/>
            <w:r w:rsidRPr="00B34608">
              <w:rPr>
                <w:sz w:val="20"/>
              </w:rPr>
              <w:t>kreditas</w:t>
            </w:r>
            <w:proofErr w:type="spellEnd"/>
            <w:r w:rsidRPr="00B34608">
              <w:rPr>
                <w:sz w:val="20"/>
              </w:rPr>
              <w:t xml:space="preserve"> </w:t>
            </w:r>
          </w:p>
        </w:tc>
        <w:tc>
          <w:tcPr>
            <w:tcW w:w="1701" w:type="dxa"/>
            <w:tcBorders>
              <w:top w:val="nil"/>
              <w:left w:val="nil"/>
              <w:bottom w:val="single" w:sz="4" w:space="0" w:color="auto"/>
              <w:right w:val="single" w:sz="4" w:space="0" w:color="auto"/>
            </w:tcBorders>
            <w:shd w:val="clear" w:color="000000" w:fill="FFFFFF"/>
            <w:vAlign w:val="bottom"/>
          </w:tcPr>
          <w:p w:rsidR="00D2569B" w:rsidRPr="00B34608" w:rsidRDefault="00D2569B" w:rsidP="00526FB2">
            <w:pPr>
              <w:tabs>
                <w:tab w:val="left" w:pos="0"/>
              </w:tabs>
              <w:jc w:val="right"/>
              <w:rPr>
                <w:i/>
                <w:sz w:val="20"/>
              </w:rPr>
            </w:pPr>
            <w:r w:rsidRPr="00B34608">
              <w:rPr>
                <w:i/>
                <w:sz w:val="20"/>
              </w:rPr>
              <w:t>6</w:t>
            </w:r>
            <w:r>
              <w:rPr>
                <w:i/>
                <w:sz w:val="20"/>
              </w:rPr>
              <w:t>,</w:t>
            </w:r>
            <w:r w:rsidRPr="00B34608">
              <w:rPr>
                <w:i/>
                <w:sz w:val="20"/>
              </w:rPr>
              <w:t>195</w:t>
            </w:r>
            <w:r>
              <w:rPr>
                <w:i/>
                <w:sz w:val="20"/>
              </w:rPr>
              <w:t>,</w:t>
            </w:r>
            <w:r w:rsidRPr="00B34608">
              <w:rPr>
                <w:i/>
                <w:sz w:val="20"/>
              </w:rPr>
              <w:t>358</w:t>
            </w:r>
          </w:p>
        </w:tc>
        <w:tc>
          <w:tcPr>
            <w:tcW w:w="1418" w:type="dxa"/>
            <w:tcBorders>
              <w:top w:val="nil"/>
              <w:left w:val="nil"/>
              <w:bottom w:val="single" w:sz="4" w:space="0" w:color="auto"/>
              <w:right w:val="single" w:sz="4" w:space="0" w:color="auto"/>
            </w:tcBorders>
            <w:shd w:val="clear" w:color="000000" w:fill="FFFFFF"/>
          </w:tcPr>
          <w:p w:rsidR="00D2569B" w:rsidRPr="00B34608" w:rsidRDefault="00D2569B" w:rsidP="00705BA7">
            <w:pPr>
              <w:tabs>
                <w:tab w:val="left" w:pos="0"/>
              </w:tabs>
              <w:jc w:val="right"/>
              <w:rPr>
                <w:i/>
                <w:sz w:val="20"/>
              </w:rPr>
            </w:pPr>
          </w:p>
        </w:tc>
      </w:tr>
      <w:tr w:rsidR="00D2569B" w:rsidRPr="00B34608" w:rsidTr="00CD17A9">
        <w:trPr>
          <w:trHeight w:val="255"/>
        </w:trPr>
        <w:tc>
          <w:tcPr>
            <w:tcW w:w="851"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3D48EF">
            <w:pPr>
              <w:tabs>
                <w:tab w:val="left" w:pos="0"/>
              </w:tabs>
              <w:jc w:val="center"/>
              <w:rPr>
                <w:sz w:val="20"/>
              </w:rPr>
            </w:pPr>
            <w:r w:rsidRPr="00B34608">
              <w:rPr>
                <w:sz w:val="20"/>
              </w:rPr>
              <w:t>1.7.</w:t>
            </w:r>
          </w:p>
        </w:tc>
        <w:tc>
          <w:tcPr>
            <w:tcW w:w="5528" w:type="dxa"/>
            <w:tcBorders>
              <w:top w:val="nil"/>
              <w:left w:val="nil"/>
              <w:bottom w:val="single" w:sz="4" w:space="0" w:color="auto"/>
              <w:right w:val="single" w:sz="4" w:space="0" w:color="auto"/>
            </w:tcBorders>
            <w:shd w:val="clear" w:color="000000" w:fill="FFFFFF"/>
          </w:tcPr>
          <w:p w:rsidR="00D2569B" w:rsidRPr="00B34608" w:rsidRDefault="00D2569B" w:rsidP="003D48EF">
            <w:pPr>
              <w:tabs>
                <w:tab w:val="left" w:pos="0"/>
              </w:tabs>
              <w:rPr>
                <w:sz w:val="20"/>
              </w:rPr>
            </w:pPr>
            <w:r>
              <w:rPr>
                <w:sz w:val="20"/>
              </w:rPr>
              <w:t xml:space="preserve">Deferred expenses for execution of non-public sector entities’ orders </w:t>
            </w:r>
          </w:p>
        </w:tc>
        <w:tc>
          <w:tcPr>
            <w:tcW w:w="1701" w:type="dxa"/>
            <w:tcBorders>
              <w:top w:val="nil"/>
              <w:left w:val="nil"/>
              <w:bottom w:val="single" w:sz="4" w:space="0" w:color="auto"/>
              <w:right w:val="single" w:sz="4" w:space="0" w:color="auto"/>
            </w:tcBorders>
            <w:shd w:val="clear" w:color="000000" w:fill="FFFFFF"/>
            <w:vAlign w:val="bottom"/>
          </w:tcPr>
          <w:p w:rsidR="00D2569B" w:rsidRPr="00B34608" w:rsidRDefault="00D2569B" w:rsidP="00705BA7">
            <w:pPr>
              <w:tabs>
                <w:tab w:val="left" w:pos="0"/>
              </w:tabs>
              <w:jc w:val="right"/>
              <w:rPr>
                <w:sz w:val="20"/>
              </w:rPr>
            </w:pPr>
          </w:p>
        </w:tc>
        <w:tc>
          <w:tcPr>
            <w:tcW w:w="1418" w:type="dxa"/>
            <w:tcBorders>
              <w:top w:val="nil"/>
              <w:left w:val="nil"/>
              <w:bottom w:val="single" w:sz="4" w:space="0" w:color="auto"/>
              <w:right w:val="single" w:sz="4" w:space="0" w:color="auto"/>
            </w:tcBorders>
            <w:shd w:val="clear" w:color="000000" w:fill="FFFFFF"/>
          </w:tcPr>
          <w:p w:rsidR="00D2569B" w:rsidRPr="00B34608" w:rsidRDefault="00D2569B" w:rsidP="00705BA7">
            <w:pPr>
              <w:tabs>
                <w:tab w:val="left" w:pos="0"/>
              </w:tabs>
              <w:jc w:val="right"/>
              <w:rPr>
                <w:sz w:val="20"/>
              </w:rPr>
            </w:pPr>
          </w:p>
        </w:tc>
      </w:tr>
      <w:tr w:rsidR="00D2569B" w:rsidRPr="00B34608" w:rsidTr="00CD17A9">
        <w:trPr>
          <w:trHeight w:val="270"/>
        </w:trPr>
        <w:tc>
          <w:tcPr>
            <w:tcW w:w="851"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3D48EF">
            <w:pPr>
              <w:tabs>
                <w:tab w:val="left" w:pos="0"/>
              </w:tabs>
              <w:jc w:val="center"/>
              <w:rPr>
                <w:b/>
                <w:bCs/>
                <w:sz w:val="20"/>
              </w:rPr>
            </w:pPr>
            <w:r w:rsidRPr="00B34608">
              <w:rPr>
                <w:b/>
                <w:bCs/>
                <w:sz w:val="20"/>
              </w:rPr>
              <w:t>2.</w:t>
            </w:r>
          </w:p>
        </w:tc>
        <w:tc>
          <w:tcPr>
            <w:tcW w:w="5528" w:type="dxa"/>
            <w:tcBorders>
              <w:top w:val="nil"/>
              <w:left w:val="nil"/>
              <w:bottom w:val="single" w:sz="4" w:space="0" w:color="auto"/>
              <w:right w:val="single" w:sz="4" w:space="0" w:color="auto"/>
            </w:tcBorders>
            <w:shd w:val="clear" w:color="000000" w:fill="FFFFFF"/>
          </w:tcPr>
          <w:p w:rsidR="00D2569B" w:rsidRPr="00B34608" w:rsidRDefault="00D2569B" w:rsidP="003D48EF">
            <w:pPr>
              <w:tabs>
                <w:tab w:val="left" w:pos="0"/>
              </w:tabs>
              <w:rPr>
                <w:b/>
                <w:bCs/>
                <w:sz w:val="20"/>
              </w:rPr>
            </w:pPr>
            <w:r>
              <w:rPr>
                <w:b/>
                <w:bCs/>
                <w:sz w:val="20"/>
              </w:rPr>
              <w:t>Value impairment of prepayments</w:t>
            </w:r>
            <w:r w:rsidRPr="00B34608">
              <w:rPr>
                <w:b/>
                <w:bCs/>
                <w:sz w:val="20"/>
              </w:rPr>
              <w:t xml:space="preserve">  </w:t>
            </w:r>
          </w:p>
        </w:tc>
        <w:tc>
          <w:tcPr>
            <w:tcW w:w="1701" w:type="dxa"/>
            <w:tcBorders>
              <w:top w:val="nil"/>
              <w:left w:val="nil"/>
              <w:bottom w:val="single" w:sz="4" w:space="0" w:color="auto"/>
              <w:right w:val="single" w:sz="4" w:space="0" w:color="auto"/>
            </w:tcBorders>
            <w:shd w:val="clear" w:color="000000" w:fill="FFFFFF"/>
            <w:vAlign w:val="bottom"/>
          </w:tcPr>
          <w:p w:rsidR="00D2569B" w:rsidRPr="00B34608" w:rsidRDefault="00D2569B" w:rsidP="00705BA7">
            <w:pPr>
              <w:tabs>
                <w:tab w:val="left" w:pos="0"/>
              </w:tabs>
              <w:jc w:val="right"/>
              <w:rPr>
                <w:b/>
                <w:bCs/>
                <w:sz w:val="20"/>
              </w:rPr>
            </w:pPr>
            <w:r w:rsidRPr="00B34608">
              <w:rPr>
                <w:b/>
                <w:bCs/>
                <w:sz w:val="20"/>
              </w:rPr>
              <w:t> </w:t>
            </w:r>
          </w:p>
        </w:tc>
        <w:tc>
          <w:tcPr>
            <w:tcW w:w="1418" w:type="dxa"/>
            <w:tcBorders>
              <w:top w:val="nil"/>
              <w:left w:val="nil"/>
              <w:bottom w:val="single" w:sz="4" w:space="0" w:color="auto"/>
              <w:right w:val="single" w:sz="4" w:space="0" w:color="auto"/>
            </w:tcBorders>
            <w:shd w:val="clear" w:color="000000" w:fill="FFFFFF"/>
          </w:tcPr>
          <w:p w:rsidR="00D2569B" w:rsidRPr="00B34608" w:rsidRDefault="00D2569B" w:rsidP="00705BA7">
            <w:pPr>
              <w:tabs>
                <w:tab w:val="left" w:pos="0"/>
              </w:tabs>
              <w:jc w:val="right"/>
              <w:rPr>
                <w:b/>
                <w:bCs/>
                <w:sz w:val="20"/>
              </w:rPr>
            </w:pPr>
          </w:p>
        </w:tc>
      </w:tr>
      <w:tr w:rsidR="00D2569B" w:rsidRPr="00B34608" w:rsidTr="00CD17A9">
        <w:trPr>
          <w:trHeight w:val="270"/>
        </w:trPr>
        <w:tc>
          <w:tcPr>
            <w:tcW w:w="851"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3D48EF">
            <w:pPr>
              <w:tabs>
                <w:tab w:val="left" w:pos="0"/>
              </w:tabs>
              <w:jc w:val="center"/>
              <w:rPr>
                <w:b/>
                <w:bCs/>
                <w:sz w:val="20"/>
              </w:rPr>
            </w:pPr>
            <w:r w:rsidRPr="00B34608">
              <w:rPr>
                <w:b/>
                <w:bCs/>
                <w:sz w:val="20"/>
              </w:rPr>
              <w:t>3.</w:t>
            </w:r>
          </w:p>
        </w:tc>
        <w:tc>
          <w:tcPr>
            <w:tcW w:w="5528" w:type="dxa"/>
            <w:tcBorders>
              <w:top w:val="nil"/>
              <w:left w:val="nil"/>
              <w:bottom w:val="single" w:sz="4" w:space="0" w:color="auto"/>
              <w:right w:val="single" w:sz="4" w:space="0" w:color="auto"/>
            </w:tcBorders>
            <w:shd w:val="clear" w:color="000000" w:fill="FFFFFF"/>
          </w:tcPr>
          <w:p w:rsidR="00D2569B" w:rsidRPr="00B34608" w:rsidRDefault="00D2569B" w:rsidP="003D48EF">
            <w:pPr>
              <w:tabs>
                <w:tab w:val="left" w:pos="0"/>
              </w:tabs>
              <w:rPr>
                <w:b/>
                <w:bCs/>
                <w:sz w:val="20"/>
              </w:rPr>
            </w:pPr>
            <w:r>
              <w:rPr>
                <w:b/>
                <w:bCs/>
                <w:sz w:val="20"/>
              </w:rPr>
              <w:t>Carrying amount of prepayments</w:t>
            </w:r>
            <w:r w:rsidRPr="00B34608">
              <w:rPr>
                <w:b/>
                <w:bCs/>
                <w:sz w:val="20"/>
              </w:rPr>
              <w:t xml:space="preserve"> (1-2)</w:t>
            </w:r>
          </w:p>
        </w:tc>
        <w:tc>
          <w:tcPr>
            <w:tcW w:w="1701" w:type="dxa"/>
            <w:tcBorders>
              <w:top w:val="nil"/>
              <w:left w:val="nil"/>
              <w:bottom w:val="single" w:sz="4" w:space="0" w:color="auto"/>
              <w:right w:val="single" w:sz="4" w:space="0" w:color="auto"/>
            </w:tcBorders>
            <w:shd w:val="clear" w:color="000000" w:fill="FFFFFF"/>
          </w:tcPr>
          <w:p w:rsidR="00D2569B" w:rsidRPr="00B34608" w:rsidRDefault="00D2569B" w:rsidP="00427BF2">
            <w:pPr>
              <w:jc w:val="right"/>
              <w:rPr>
                <w:b/>
                <w:bCs/>
                <w:sz w:val="20"/>
                <w:lang w:eastAsia="lt-LT"/>
              </w:rPr>
            </w:pPr>
            <w:r w:rsidRPr="00B34608">
              <w:rPr>
                <w:b/>
                <w:bCs/>
                <w:sz w:val="20"/>
                <w:lang w:eastAsia="lt-LT"/>
              </w:rPr>
              <w:t>8</w:t>
            </w:r>
            <w:r>
              <w:rPr>
                <w:b/>
                <w:bCs/>
                <w:sz w:val="20"/>
                <w:lang w:eastAsia="lt-LT"/>
              </w:rPr>
              <w:t>,</w:t>
            </w:r>
            <w:r w:rsidRPr="00B34608">
              <w:rPr>
                <w:b/>
                <w:bCs/>
                <w:sz w:val="20"/>
                <w:lang w:eastAsia="lt-LT"/>
              </w:rPr>
              <w:t>338</w:t>
            </w:r>
            <w:r>
              <w:rPr>
                <w:b/>
                <w:bCs/>
                <w:sz w:val="20"/>
                <w:lang w:eastAsia="lt-LT"/>
              </w:rPr>
              <w:t>,</w:t>
            </w:r>
            <w:r w:rsidRPr="00B34608">
              <w:rPr>
                <w:b/>
                <w:bCs/>
                <w:sz w:val="20"/>
                <w:lang w:eastAsia="lt-LT"/>
              </w:rPr>
              <w:t>141</w:t>
            </w:r>
          </w:p>
        </w:tc>
        <w:tc>
          <w:tcPr>
            <w:tcW w:w="1418" w:type="dxa"/>
            <w:tcBorders>
              <w:top w:val="nil"/>
              <w:left w:val="nil"/>
              <w:bottom w:val="single" w:sz="4" w:space="0" w:color="auto"/>
              <w:right w:val="single" w:sz="4" w:space="0" w:color="auto"/>
            </w:tcBorders>
            <w:shd w:val="clear" w:color="000000" w:fill="FFFFFF"/>
          </w:tcPr>
          <w:p w:rsidR="00D2569B" w:rsidRPr="00B34608" w:rsidRDefault="00D2569B" w:rsidP="00705BA7">
            <w:pPr>
              <w:jc w:val="right"/>
              <w:rPr>
                <w:b/>
                <w:bCs/>
                <w:sz w:val="20"/>
                <w:lang w:eastAsia="lt-LT"/>
              </w:rPr>
            </w:pPr>
            <w:r>
              <w:rPr>
                <w:b/>
                <w:bCs/>
                <w:sz w:val="20"/>
                <w:lang w:eastAsia="lt-LT"/>
              </w:rPr>
              <w:t>1,</w:t>
            </w:r>
            <w:r w:rsidRPr="00B34608">
              <w:rPr>
                <w:b/>
                <w:bCs/>
                <w:sz w:val="20"/>
                <w:lang w:eastAsia="lt-LT"/>
              </w:rPr>
              <w:t>912</w:t>
            </w:r>
            <w:r>
              <w:rPr>
                <w:b/>
                <w:bCs/>
                <w:sz w:val="20"/>
                <w:lang w:eastAsia="lt-LT"/>
              </w:rPr>
              <w:t>,</w:t>
            </w:r>
            <w:r w:rsidRPr="00B34608">
              <w:rPr>
                <w:b/>
                <w:bCs/>
                <w:sz w:val="20"/>
                <w:lang w:eastAsia="lt-LT"/>
              </w:rPr>
              <w:t>127</w:t>
            </w:r>
          </w:p>
        </w:tc>
      </w:tr>
    </w:tbl>
    <w:p w:rsidR="00D2569B" w:rsidRPr="00B34608" w:rsidRDefault="00D2569B" w:rsidP="00FF5F91">
      <w:pPr>
        <w:pStyle w:val="Pagrindinistekstas"/>
        <w:rPr>
          <w:b/>
          <w:sz w:val="24"/>
          <w:szCs w:val="24"/>
        </w:rPr>
      </w:pPr>
    </w:p>
    <w:p w:rsidR="00D2569B" w:rsidRPr="00B34608" w:rsidRDefault="00D2569B" w:rsidP="00FF5F91">
      <w:pPr>
        <w:pStyle w:val="Pagrindinistekstas"/>
        <w:rPr>
          <w:b/>
          <w:sz w:val="24"/>
          <w:szCs w:val="24"/>
        </w:rPr>
      </w:pPr>
      <w:r>
        <w:rPr>
          <w:b/>
          <w:sz w:val="24"/>
          <w:szCs w:val="24"/>
        </w:rPr>
        <w:t xml:space="preserve">Note </w:t>
      </w:r>
      <w:r w:rsidRPr="00B34608">
        <w:rPr>
          <w:b/>
          <w:sz w:val="24"/>
          <w:szCs w:val="24"/>
        </w:rPr>
        <w:t xml:space="preserve">3. </w:t>
      </w:r>
      <w:r>
        <w:rPr>
          <w:b/>
          <w:sz w:val="24"/>
          <w:szCs w:val="24"/>
        </w:rPr>
        <w:t>Amounts receivable within one year</w:t>
      </w:r>
      <w:r w:rsidRPr="00B34608">
        <w:rPr>
          <w:b/>
          <w:sz w:val="24"/>
          <w:szCs w:val="24"/>
        </w:rPr>
        <w:t xml:space="preserve"> </w:t>
      </w:r>
    </w:p>
    <w:p w:rsidR="00D2569B" w:rsidRPr="00B34608" w:rsidRDefault="00D2569B" w:rsidP="00CD17A9">
      <w:pPr>
        <w:pStyle w:val="Pagrindinistekstas"/>
        <w:spacing w:before="240" w:after="0" w:line="276" w:lineRule="auto"/>
        <w:ind w:left="-142" w:firstLine="142"/>
        <w:rPr>
          <w:szCs w:val="22"/>
        </w:rPr>
      </w:pPr>
      <w:r w:rsidRPr="00B34608">
        <w:rPr>
          <w:szCs w:val="22"/>
        </w:rPr>
        <w:t xml:space="preserve">          </w:t>
      </w:r>
      <w:r>
        <w:rPr>
          <w:szCs w:val="22"/>
        </w:rPr>
        <w:t xml:space="preserve">Amounts receivable within one year are detailed in Table </w:t>
      </w:r>
      <w:r w:rsidRPr="00B34608">
        <w:rPr>
          <w:szCs w:val="22"/>
        </w:rPr>
        <w:t xml:space="preserve">3. </w:t>
      </w:r>
      <w:r>
        <w:rPr>
          <w:szCs w:val="22"/>
        </w:rPr>
        <w:t>They include the share of EUR</w:t>
      </w:r>
      <w:r w:rsidRPr="00B34608">
        <w:rPr>
          <w:szCs w:val="22"/>
        </w:rPr>
        <w:t xml:space="preserve"> </w:t>
      </w:r>
      <w:r>
        <w:rPr>
          <w:szCs w:val="22"/>
        </w:rPr>
        <w:t>42,</w:t>
      </w:r>
      <w:r w:rsidRPr="00B34608">
        <w:rPr>
          <w:szCs w:val="22"/>
        </w:rPr>
        <w:t>443</w:t>
      </w:r>
      <w:r>
        <w:rPr>
          <w:szCs w:val="22"/>
        </w:rPr>
        <w:t>,</w:t>
      </w:r>
      <w:r w:rsidRPr="00B34608">
        <w:rPr>
          <w:szCs w:val="22"/>
        </w:rPr>
        <w:t xml:space="preserve">000 </w:t>
      </w:r>
      <w:r>
        <w:rPr>
          <w:szCs w:val="22"/>
        </w:rPr>
        <w:t>of the credit claim receivable within one year and described in Note 1</w:t>
      </w:r>
      <w:r w:rsidRPr="00B34608">
        <w:rPr>
          <w:szCs w:val="22"/>
        </w:rPr>
        <w:t xml:space="preserve">, </w:t>
      </w:r>
      <w:r>
        <w:rPr>
          <w:szCs w:val="22"/>
        </w:rPr>
        <w:t>other amounts of EUR</w:t>
      </w:r>
      <w:r w:rsidRPr="00B34608">
        <w:rPr>
          <w:szCs w:val="22"/>
        </w:rPr>
        <w:t xml:space="preserve"> 1</w:t>
      </w:r>
      <w:r>
        <w:rPr>
          <w:szCs w:val="22"/>
        </w:rPr>
        <w:t>,</w:t>
      </w:r>
      <w:r w:rsidRPr="00B34608">
        <w:rPr>
          <w:szCs w:val="22"/>
        </w:rPr>
        <w:t>721</w:t>
      </w:r>
      <w:r>
        <w:rPr>
          <w:szCs w:val="22"/>
        </w:rPr>
        <w:t xml:space="preserve"> receivable under court orders as unduly paid insurance compensations</w:t>
      </w:r>
      <w:r w:rsidRPr="00B34608">
        <w:rPr>
          <w:szCs w:val="22"/>
        </w:rPr>
        <w:t>,</w:t>
      </w:r>
      <w:r>
        <w:rPr>
          <w:szCs w:val="22"/>
        </w:rPr>
        <w:t xml:space="preserve"> and</w:t>
      </w:r>
      <w:r w:rsidRPr="00B34608">
        <w:rPr>
          <w:szCs w:val="22"/>
        </w:rPr>
        <w:t xml:space="preserve"> </w:t>
      </w:r>
      <w:r>
        <w:rPr>
          <w:szCs w:val="22"/>
        </w:rPr>
        <w:t xml:space="preserve">interest of EUR </w:t>
      </w:r>
      <w:r w:rsidRPr="00B34608">
        <w:rPr>
          <w:szCs w:val="22"/>
        </w:rPr>
        <w:t xml:space="preserve">220 </w:t>
      </w:r>
      <w:r>
        <w:rPr>
          <w:szCs w:val="22"/>
        </w:rPr>
        <w:t>on insurance compensations awarded by court</w:t>
      </w:r>
      <w:r w:rsidRPr="00B34608">
        <w:rPr>
          <w:szCs w:val="22"/>
        </w:rPr>
        <w:t>.</w:t>
      </w:r>
    </w:p>
    <w:p w:rsidR="00D2569B" w:rsidRPr="00B34608" w:rsidRDefault="00D2569B" w:rsidP="005A64C2">
      <w:pPr>
        <w:pStyle w:val="Antrat1"/>
        <w:tabs>
          <w:tab w:val="left" w:pos="0"/>
        </w:tabs>
        <w:spacing w:line="240" w:lineRule="auto"/>
        <w:rPr>
          <w:b w:val="0"/>
          <w:i/>
          <w:sz w:val="22"/>
          <w:szCs w:val="22"/>
        </w:rPr>
      </w:pPr>
      <w:bookmarkStart w:id="28" w:name="_Toc434332055"/>
      <w:bookmarkStart w:id="29" w:name="_Toc441582344"/>
      <w:r>
        <w:rPr>
          <w:b w:val="0"/>
          <w:i/>
          <w:sz w:val="22"/>
          <w:szCs w:val="22"/>
        </w:rPr>
        <w:t xml:space="preserve">Table </w:t>
      </w:r>
      <w:r w:rsidRPr="00B34608">
        <w:rPr>
          <w:b w:val="0"/>
          <w:i/>
          <w:sz w:val="22"/>
          <w:szCs w:val="22"/>
        </w:rPr>
        <w:t>3. Informa</w:t>
      </w:r>
      <w:r>
        <w:rPr>
          <w:b w:val="0"/>
          <w:i/>
          <w:sz w:val="22"/>
          <w:szCs w:val="22"/>
        </w:rPr>
        <w:t>tion on amounts receivable within one year</w:t>
      </w:r>
      <w:bookmarkEnd w:id="28"/>
      <w:bookmarkEnd w:id="29"/>
    </w:p>
    <w:tbl>
      <w:tblPr>
        <w:tblW w:w="9498" w:type="dxa"/>
        <w:tblInd w:w="-147" w:type="dxa"/>
        <w:tblLook w:val="00A0" w:firstRow="1" w:lastRow="0" w:firstColumn="1" w:lastColumn="0" w:noHBand="0" w:noVBand="0"/>
      </w:tblPr>
      <w:tblGrid>
        <w:gridCol w:w="851"/>
        <w:gridCol w:w="5387"/>
        <w:gridCol w:w="1701"/>
        <w:gridCol w:w="1559"/>
      </w:tblGrid>
      <w:tr w:rsidR="00D2569B" w:rsidRPr="00B34608" w:rsidTr="00CD17A9">
        <w:trPr>
          <w:trHeight w:val="646"/>
        </w:trPr>
        <w:tc>
          <w:tcPr>
            <w:tcW w:w="851"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8C0E5E">
            <w:pPr>
              <w:jc w:val="center"/>
              <w:rPr>
                <w:b/>
                <w:bCs/>
                <w:sz w:val="20"/>
              </w:rPr>
            </w:pPr>
            <w:r>
              <w:rPr>
                <w:b/>
                <w:bCs/>
                <w:sz w:val="20"/>
              </w:rPr>
              <w:t>Seq. No</w:t>
            </w:r>
          </w:p>
        </w:tc>
        <w:tc>
          <w:tcPr>
            <w:tcW w:w="5387" w:type="dxa"/>
            <w:tcBorders>
              <w:top w:val="single" w:sz="4" w:space="0" w:color="auto"/>
              <w:left w:val="single" w:sz="4" w:space="0" w:color="auto"/>
              <w:bottom w:val="single" w:sz="4" w:space="0" w:color="000000"/>
              <w:right w:val="single" w:sz="4" w:space="0" w:color="000000"/>
            </w:tcBorders>
            <w:vAlign w:val="center"/>
          </w:tcPr>
          <w:p w:rsidR="00D2569B" w:rsidRPr="00B34608" w:rsidRDefault="00D2569B" w:rsidP="006E3E89">
            <w:pPr>
              <w:tabs>
                <w:tab w:val="left" w:pos="0"/>
              </w:tabs>
              <w:jc w:val="center"/>
              <w:rPr>
                <w:b/>
                <w:bCs/>
                <w:sz w:val="20"/>
              </w:rPr>
            </w:pPr>
            <w:r>
              <w:rPr>
                <w:b/>
                <w:bCs/>
                <w:sz w:val="20"/>
              </w:rPr>
              <w:t>Item</w:t>
            </w:r>
          </w:p>
        </w:tc>
        <w:tc>
          <w:tcPr>
            <w:tcW w:w="1701" w:type="dxa"/>
            <w:tcBorders>
              <w:top w:val="single" w:sz="4" w:space="0" w:color="auto"/>
              <w:left w:val="single" w:sz="4" w:space="0" w:color="auto"/>
              <w:bottom w:val="single" w:sz="4" w:space="0" w:color="000000"/>
              <w:right w:val="single" w:sz="4" w:space="0" w:color="000000"/>
            </w:tcBorders>
            <w:vAlign w:val="center"/>
          </w:tcPr>
          <w:p w:rsidR="00D2569B" w:rsidRPr="00B34608" w:rsidRDefault="00D2569B" w:rsidP="006E3E89">
            <w:pPr>
              <w:tabs>
                <w:tab w:val="left" w:pos="0"/>
              </w:tabs>
              <w:jc w:val="center"/>
              <w:rPr>
                <w:b/>
                <w:bCs/>
                <w:sz w:val="20"/>
              </w:rPr>
            </w:pPr>
            <w:r>
              <w:rPr>
                <w:b/>
                <w:bCs/>
                <w:sz w:val="20"/>
              </w:rPr>
              <w:t xml:space="preserve">31 12 </w:t>
            </w:r>
            <w:r w:rsidRPr="00B34608">
              <w:rPr>
                <w:b/>
                <w:bCs/>
                <w:sz w:val="20"/>
              </w:rPr>
              <w:t>2017</w:t>
            </w:r>
          </w:p>
        </w:tc>
        <w:tc>
          <w:tcPr>
            <w:tcW w:w="1559" w:type="dxa"/>
            <w:tcBorders>
              <w:top w:val="single" w:sz="4" w:space="0" w:color="auto"/>
              <w:left w:val="single" w:sz="4" w:space="0" w:color="auto"/>
              <w:bottom w:val="single" w:sz="4" w:space="0" w:color="000000"/>
              <w:right w:val="single" w:sz="4" w:space="0" w:color="000000"/>
            </w:tcBorders>
            <w:vAlign w:val="center"/>
          </w:tcPr>
          <w:p w:rsidR="00D2569B" w:rsidRPr="00B34608" w:rsidRDefault="00D2569B" w:rsidP="006E3E89">
            <w:pPr>
              <w:tabs>
                <w:tab w:val="left" w:pos="0"/>
              </w:tabs>
              <w:jc w:val="center"/>
              <w:rPr>
                <w:b/>
                <w:bCs/>
                <w:sz w:val="20"/>
              </w:rPr>
            </w:pPr>
            <w:r>
              <w:rPr>
                <w:b/>
                <w:bCs/>
                <w:sz w:val="20"/>
              </w:rPr>
              <w:t xml:space="preserve">31 12 </w:t>
            </w:r>
            <w:r w:rsidRPr="00B34608">
              <w:rPr>
                <w:b/>
                <w:bCs/>
                <w:sz w:val="20"/>
              </w:rPr>
              <w:t>201</w:t>
            </w:r>
            <w:r>
              <w:rPr>
                <w:b/>
                <w:bCs/>
                <w:sz w:val="20"/>
              </w:rPr>
              <w:t>6</w:t>
            </w:r>
          </w:p>
        </w:tc>
      </w:tr>
      <w:tr w:rsidR="00D2569B" w:rsidRPr="00B34608" w:rsidTr="00CD17A9">
        <w:trPr>
          <w:trHeight w:val="255"/>
        </w:trPr>
        <w:tc>
          <w:tcPr>
            <w:tcW w:w="851" w:type="dxa"/>
            <w:tcBorders>
              <w:top w:val="nil"/>
              <w:left w:val="single" w:sz="4" w:space="0" w:color="auto"/>
              <w:bottom w:val="single" w:sz="4" w:space="0" w:color="auto"/>
              <w:right w:val="single" w:sz="4" w:space="0" w:color="auto"/>
            </w:tcBorders>
            <w:vAlign w:val="center"/>
          </w:tcPr>
          <w:p w:rsidR="00D2569B" w:rsidRPr="00B34608" w:rsidRDefault="00D2569B" w:rsidP="00862F8F">
            <w:pPr>
              <w:jc w:val="center"/>
              <w:rPr>
                <w:bCs/>
                <w:sz w:val="20"/>
              </w:rPr>
            </w:pPr>
            <w:r w:rsidRPr="00B34608">
              <w:rPr>
                <w:bCs/>
                <w:sz w:val="20"/>
              </w:rPr>
              <w:t>1</w:t>
            </w:r>
          </w:p>
        </w:tc>
        <w:tc>
          <w:tcPr>
            <w:tcW w:w="5387" w:type="dxa"/>
            <w:tcBorders>
              <w:top w:val="single" w:sz="4" w:space="0" w:color="auto"/>
              <w:left w:val="nil"/>
              <w:bottom w:val="single" w:sz="4" w:space="0" w:color="auto"/>
              <w:right w:val="single" w:sz="4" w:space="0" w:color="000000"/>
            </w:tcBorders>
            <w:vAlign w:val="center"/>
          </w:tcPr>
          <w:p w:rsidR="00D2569B" w:rsidRPr="00B34608" w:rsidRDefault="00D2569B" w:rsidP="00862F8F">
            <w:pPr>
              <w:jc w:val="center"/>
              <w:rPr>
                <w:bCs/>
                <w:sz w:val="20"/>
              </w:rPr>
            </w:pPr>
            <w:r w:rsidRPr="00B34608">
              <w:rPr>
                <w:bCs/>
                <w:sz w:val="20"/>
              </w:rPr>
              <w:t>2</w:t>
            </w:r>
          </w:p>
        </w:tc>
        <w:tc>
          <w:tcPr>
            <w:tcW w:w="1701" w:type="dxa"/>
            <w:tcBorders>
              <w:top w:val="single" w:sz="4" w:space="0" w:color="auto"/>
              <w:left w:val="nil"/>
              <w:bottom w:val="single" w:sz="4" w:space="0" w:color="auto"/>
              <w:right w:val="single" w:sz="4" w:space="0" w:color="000000"/>
            </w:tcBorders>
          </w:tcPr>
          <w:p w:rsidR="00D2569B" w:rsidRPr="00B34608" w:rsidRDefault="00D2569B" w:rsidP="00061412">
            <w:pPr>
              <w:jc w:val="center"/>
              <w:rPr>
                <w:sz w:val="20"/>
              </w:rPr>
            </w:pPr>
            <w:r w:rsidRPr="00B34608">
              <w:rPr>
                <w:sz w:val="20"/>
              </w:rPr>
              <w:t>3</w:t>
            </w:r>
          </w:p>
        </w:tc>
        <w:tc>
          <w:tcPr>
            <w:tcW w:w="1559" w:type="dxa"/>
            <w:tcBorders>
              <w:top w:val="single" w:sz="4" w:space="0" w:color="auto"/>
              <w:left w:val="nil"/>
              <w:bottom w:val="single" w:sz="4" w:space="0" w:color="auto"/>
              <w:right w:val="single" w:sz="4" w:space="0" w:color="000000"/>
            </w:tcBorders>
          </w:tcPr>
          <w:p w:rsidR="00D2569B" w:rsidRPr="00B34608" w:rsidRDefault="00D2569B" w:rsidP="00061412">
            <w:pPr>
              <w:jc w:val="center"/>
              <w:rPr>
                <w:sz w:val="20"/>
              </w:rPr>
            </w:pPr>
            <w:r w:rsidRPr="00B34608">
              <w:rPr>
                <w:sz w:val="20"/>
              </w:rPr>
              <w:t>4</w:t>
            </w:r>
          </w:p>
        </w:tc>
      </w:tr>
      <w:tr w:rsidR="00D2569B" w:rsidRPr="00B34608" w:rsidTr="00CD17A9">
        <w:trPr>
          <w:trHeight w:val="305"/>
        </w:trPr>
        <w:tc>
          <w:tcPr>
            <w:tcW w:w="851" w:type="dxa"/>
            <w:tcBorders>
              <w:top w:val="nil"/>
              <w:left w:val="single" w:sz="4" w:space="0" w:color="auto"/>
              <w:bottom w:val="single" w:sz="4" w:space="0" w:color="auto"/>
              <w:right w:val="single" w:sz="4" w:space="0" w:color="auto"/>
            </w:tcBorders>
            <w:vAlign w:val="center"/>
          </w:tcPr>
          <w:p w:rsidR="00D2569B" w:rsidRPr="00B34608" w:rsidRDefault="00D2569B" w:rsidP="00C64390">
            <w:pPr>
              <w:jc w:val="center"/>
              <w:rPr>
                <w:b/>
                <w:bCs/>
                <w:sz w:val="20"/>
              </w:rPr>
            </w:pPr>
            <w:r w:rsidRPr="00B34608">
              <w:rPr>
                <w:b/>
                <w:bCs/>
                <w:sz w:val="20"/>
              </w:rPr>
              <w:t>1.</w:t>
            </w:r>
          </w:p>
        </w:tc>
        <w:tc>
          <w:tcPr>
            <w:tcW w:w="5387" w:type="dxa"/>
            <w:tcBorders>
              <w:top w:val="single" w:sz="4" w:space="0" w:color="auto"/>
              <w:left w:val="nil"/>
              <w:bottom w:val="single" w:sz="4" w:space="0" w:color="auto"/>
              <w:right w:val="single" w:sz="4" w:space="0" w:color="000000"/>
            </w:tcBorders>
            <w:vAlign w:val="center"/>
          </w:tcPr>
          <w:p w:rsidR="00D2569B" w:rsidRPr="00B34608" w:rsidRDefault="00D2569B" w:rsidP="00C64390">
            <w:pPr>
              <w:rPr>
                <w:b/>
                <w:bCs/>
                <w:sz w:val="20"/>
              </w:rPr>
            </w:pPr>
            <w:r>
              <w:rPr>
                <w:b/>
                <w:bCs/>
                <w:sz w:val="20"/>
              </w:rPr>
              <w:t xml:space="preserve">Acquisition cost of amounts receivable within one year, total </w:t>
            </w:r>
          </w:p>
        </w:tc>
        <w:tc>
          <w:tcPr>
            <w:tcW w:w="1701" w:type="dxa"/>
            <w:tcBorders>
              <w:top w:val="single" w:sz="4" w:space="0" w:color="auto"/>
              <w:left w:val="nil"/>
              <w:bottom w:val="single" w:sz="4" w:space="0" w:color="auto"/>
              <w:right w:val="single" w:sz="4" w:space="0" w:color="000000"/>
            </w:tcBorders>
          </w:tcPr>
          <w:p w:rsidR="00D2569B" w:rsidRPr="00B34608" w:rsidRDefault="00D2569B" w:rsidP="00705BA7">
            <w:pPr>
              <w:jc w:val="right"/>
              <w:rPr>
                <w:b/>
                <w:bCs/>
                <w:sz w:val="20"/>
              </w:rPr>
            </w:pPr>
            <w:r w:rsidRPr="00B34608">
              <w:rPr>
                <w:b/>
                <w:bCs/>
                <w:sz w:val="20"/>
              </w:rPr>
              <w:t>42</w:t>
            </w:r>
            <w:r>
              <w:rPr>
                <w:b/>
                <w:bCs/>
                <w:sz w:val="20"/>
              </w:rPr>
              <w:t>,</w:t>
            </w:r>
            <w:r w:rsidRPr="00B34608">
              <w:rPr>
                <w:b/>
                <w:bCs/>
                <w:sz w:val="20"/>
              </w:rPr>
              <w:t>444</w:t>
            </w:r>
            <w:r>
              <w:rPr>
                <w:b/>
                <w:bCs/>
                <w:sz w:val="20"/>
              </w:rPr>
              <w:t>,</w:t>
            </w:r>
            <w:r w:rsidRPr="00B34608">
              <w:rPr>
                <w:b/>
                <w:bCs/>
                <w:sz w:val="20"/>
              </w:rPr>
              <w:t>941</w:t>
            </w:r>
          </w:p>
        </w:tc>
        <w:tc>
          <w:tcPr>
            <w:tcW w:w="1559" w:type="dxa"/>
            <w:tcBorders>
              <w:top w:val="single" w:sz="4" w:space="0" w:color="auto"/>
              <w:left w:val="nil"/>
              <w:bottom w:val="single" w:sz="4" w:space="0" w:color="auto"/>
              <w:right w:val="single" w:sz="4" w:space="0" w:color="000000"/>
            </w:tcBorders>
          </w:tcPr>
          <w:p w:rsidR="00D2569B" w:rsidRPr="00B34608" w:rsidRDefault="00D2569B" w:rsidP="00526FB2">
            <w:pPr>
              <w:jc w:val="right"/>
              <w:rPr>
                <w:b/>
                <w:bCs/>
                <w:sz w:val="20"/>
              </w:rPr>
            </w:pPr>
            <w:r w:rsidRPr="00B34608">
              <w:rPr>
                <w:b/>
                <w:bCs/>
                <w:sz w:val="20"/>
              </w:rPr>
              <w:t>60</w:t>
            </w:r>
            <w:r>
              <w:rPr>
                <w:b/>
                <w:bCs/>
                <w:sz w:val="20"/>
              </w:rPr>
              <w:t>,</w:t>
            </w:r>
            <w:r w:rsidRPr="00B34608">
              <w:rPr>
                <w:b/>
                <w:bCs/>
                <w:sz w:val="20"/>
              </w:rPr>
              <w:t>223</w:t>
            </w:r>
            <w:r>
              <w:rPr>
                <w:b/>
                <w:bCs/>
                <w:sz w:val="20"/>
              </w:rPr>
              <w:t>,</w:t>
            </w:r>
            <w:r w:rsidRPr="00B34608">
              <w:rPr>
                <w:b/>
                <w:bCs/>
                <w:sz w:val="20"/>
              </w:rPr>
              <w:t>178</w:t>
            </w:r>
          </w:p>
        </w:tc>
      </w:tr>
      <w:tr w:rsidR="00D2569B" w:rsidRPr="00B34608" w:rsidTr="00CD17A9">
        <w:trPr>
          <w:trHeight w:val="300"/>
        </w:trPr>
        <w:tc>
          <w:tcPr>
            <w:tcW w:w="851" w:type="dxa"/>
            <w:tcBorders>
              <w:top w:val="nil"/>
              <w:left w:val="single" w:sz="4" w:space="0" w:color="auto"/>
              <w:bottom w:val="single" w:sz="4" w:space="0" w:color="auto"/>
              <w:right w:val="single" w:sz="4" w:space="0" w:color="auto"/>
            </w:tcBorders>
            <w:vAlign w:val="center"/>
          </w:tcPr>
          <w:p w:rsidR="00D2569B" w:rsidRPr="00B34608" w:rsidRDefault="00D2569B" w:rsidP="00C64390">
            <w:pPr>
              <w:jc w:val="center"/>
              <w:rPr>
                <w:sz w:val="20"/>
              </w:rPr>
            </w:pPr>
            <w:r w:rsidRPr="00B34608">
              <w:rPr>
                <w:sz w:val="20"/>
              </w:rPr>
              <w:t xml:space="preserve"> 1.1.</w:t>
            </w:r>
          </w:p>
        </w:tc>
        <w:tc>
          <w:tcPr>
            <w:tcW w:w="5387" w:type="dxa"/>
            <w:tcBorders>
              <w:top w:val="single" w:sz="4" w:space="0" w:color="auto"/>
              <w:left w:val="nil"/>
              <w:bottom w:val="single" w:sz="4" w:space="0" w:color="auto"/>
              <w:right w:val="single" w:sz="4" w:space="0" w:color="000000"/>
            </w:tcBorders>
            <w:vAlign w:val="center"/>
          </w:tcPr>
          <w:p w:rsidR="00D2569B" w:rsidRPr="00B34608" w:rsidRDefault="00D2569B" w:rsidP="00C64390">
            <w:pPr>
              <w:rPr>
                <w:sz w:val="20"/>
              </w:rPr>
            </w:pPr>
            <w:r>
              <w:rPr>
                <w:sz w:val="20"/>
              </w:rPr>
              <w:t>Financing receivables</w:t>
            </w:r>
          </w:p>
        </w:tc>
        <w:tc>
          <w:tcPr>
            <w:tcW w:w="1701" w:type="dxa"/>
            <w:tcBorders>
              <w:top w:val="single" w:sz="4" w:space="0" w:color="auto"/>
              <w:left w:val="nil"/>
              <w:bottom w:val="single" w:sz="4" w:space="0" w:color="auto"/>
              <w:right w:val="single" w:sz="4" w:space="0" w:color="000000"/>
            </w:tcBorders>
          </w:tcPr>
          <w:p w:rsidR="00D2569B" w:rsidRPr="00B34608" w:rsidRDefault="00D2569B" w:rsidP="00C64390">
            <w:pPr>
              <w:rPr>
                <w:sz w:val="20"/>
              </w:rPr>
            </w:pPr>
          </w:p>
        </w:tc>
        <w:tc>
          <w:tcPr>
            <w:tcW w:w="1559" w:type="dxa"/>
            <w:tcBorders>
              <w:top w:val="single" w:sz="4" w:space="0" w:color="auto"/>
              <w:left w:val="nil"/>
              <w:bottom w:val="single" w:sz="4" w:space="0" w:color="auto"/>
              <w:right w:val="single" w:sz="4" w:space="0" w:color="000000"/>
            </w:tcBorders>
          </w:tcPr>
          <w:p w:rsidR="00D2569B" w:rsidRPr="00B34608" w:rsidRDefault="00D2569B" w:rsidP="00C64390">
            <w:pPr>
              <w:rPr>
                <w:sz w:val="20"/>
              </w:rPr>
            </w:pPr>
          </w:p>
        </w:tc>
      </w:tr>
      <w:tr w:rsidR="00D2569B" w:rsidRPr="00B34608" w:rsidTr="00CD17A9">
        <w:trPr>
          <w:trHeight w:val="259"/>
        </w:trPr>
        <w:tc>
          <w:tcPr>
            <w:tcW w:w="851" w:type="dxa"/>
            <w:tcBorders>
              <w:top w:val="nil"/>
              <w:left w:val="single" w:sz="4" w:space="0" w:color="auto"/>
              <w:bottom w:val="single" w:sz="4" w:space="0" w:color="auto"/>
              <w:right w:val="single" w:sz="4" w:space="0" w:color="auto"/>
            </w:tcBorders>
            <w:vAlign w:val="center"/>
          </w:tcPr>
          <w:p w:rsidR="00D2569B" w:rsidRPr="00B34608" w:rsidRDefault="00D2569B" w:rsidP="00C64390">
            <w:pPr>
              <w:jc w:val="center"/>
              <w:rPr>
                <w:sz w:val="20"/>
              </w:rPr>
            </w:pPr>
            <w:r w:rsidRPr="00B34608">
              <w:rPr>
                <w:sz w:val="20"/>
              </w:rPr>
              <w:t>1.2.</w:t>
            </w:r>
          </w:p>
        </w:tc>
        <w:tc>
          <w:tcPr>
            <w:tcW w:w="5387" w:type="dxa"/>
            <w:tcBorders>
              <w:top w:val="single" w:sz="4" w:space="0" w:color="auto"/>
              <w:left w:val="nil"/>
              <w:bottom w:val="single" w:sz="4" w:space="0" w:color="auto"/>
              <w:right w:val="single" w:sz="4" w:space="0" w:color="000000"/>
            </w:tcBorders>
            <w:vAlign w:val="center"/>
          </w:tcPr>
          <w:p w:rsidR="00D2569B" w:rsidRPr="00B34608" w:rsidRDefault="00D2569B" w:rsidP="00C64390">
            <w:pPr>
              <w:rPr>
                <w:sz w:val="20"/>
              </w:rPr>
            </w:pPr>
            <w:r>
              <w:rPr>
                <w:sz w:val="20"/>
              </w:rPr>
              <w:t>Receivable taxes and social contributions</w:t>
            </w:r>
            <w:r w:rsidRPr="00B34608">
              <w:rPr>
                <w:sz w:val="20"/>
              </w:rPr>
              <w:t> </w:t>
            </w:r>
          </w:p>
        </w:tc>
        <w:tc>
          <w:tcPr>
            <w:tcW w:w="1701" w:type="dxa"/>
            <w:tcBorders>
              <w:top w:val="single" w:sz="4" w:space="0" w:color="auto"/>
              <w:left w:val="nil"/>
              <w:bottom w:val="single" w:sz="4" w:space="0" w:color="auto"/>
              <w:right w:val="single" w:sz="4" w:space="0" w:color="000000"/>
            </w:tcBorders>
          </w:tcPr>
          <w:p w:rsidR="00D2569B" w:rsidRPr="00B34608" w:rsidRDefault="00D2569B" w:rsidP="00C64390">
            <w:pPr>
              <w:rPr>
                <w:sz w:val="20"/>
              </w:rPr>
            </w:pPr>
          </w:p>
        </w:tc>
        <w:tc>
          <w:tcPr>
            <w:tcW w:w="1559" w:type="dxa"/>
            <w:tcBorders>
              <w:top w:val="single" w:sz="4" w:space="0" w:color="auto"/>
              <w:left w:val="nil"/>
              <w:bottom w:val="single" w:sz="4" w:space="0" w:color="auto"/>
              <w:right w:val="single" w:sz="4" w:space="0" w:color="000000"/>
            </w:tcBorders>
          </w:tcPr>
          <w:p w:rsidR="00D2569B" w:rsidRPr="00B34608" w:rsidRDefault="00D2569B" w:rsidP="00C64390">
            <w:pPr>
              <w:rPr>
                <w:sz w:val="20"/>
              </w:rPr>
            </w:pPr>
          </w:p>
        </w:tc>
      </w:tr>
      <w:tr w:rsidR="00D2569B" w:rsidRPr="00B34608" w:rsidTr="00CD17A9">
        <w:trPr>
          <w:trHeight w:val="296"/>
        </w:trPr>
        <w:tc>
          <w:tcPr>
            <w:tcW w:w="851" w:type="dxa"/>
            <w:tcBorders>
              <w:top w:val="nil"/>
              <w:left w:val="single" w:sz="4" w:space="0" w:color="auto"/>
              <w:bottom w:val="single" w:sz="4" w:space="0" w:color="auto"/>
              <w:right w:val="single" w:sz="4" w:space="0" w:color="auto"/>
            </w:tcBorders>
            <w:vAlign w:val="center"/>
          </w:tcPr>
          <w:p w:rsidR="00D2569B" w:rsidRPr="00B34608" w:rsidRDefault="00D2569B" w:rsidP="00C64390">
            <w:pPr>
              <w:jc w:val="center"/>
              <w:rPr>
                <w:sz w:val="20"/>
              </w:rPr>
            </w:pPr>
            <w:r w:rsidRPr="00B34608">
              <w:rPr>
                <w:sz w:val="20"/>
              </w:rPr>
              <w:t>1.3.</w:t>
            </w:r>
          </w:p>
        </w:tc>
        <w:tc>
          <w:tcPr>
            <w:tcW w:w="5387" w:type="dxa"/>
            <w:tcBorders>
              <w:top w:val="single" w:sz="4" w:space="0" w:color="auto"/>
              <w:left w:val="nil"/>
              <w:bottom w:val="single" w:sz="4" w:space="0" w:color="auto"/>
              <w:right w:val="single" w:sz="4" w:space="0" w:color="000000"/>
            </w:tcBorders>
            <w:vAlign w:val="center"/>
          </w:tcPr>
          <w:p w:rsidR="00D2569B" w:rsidRPr="00B34608" w:rsidRDefault="00D2569B" w:rsidP="00C64390">
            <w:pPr>
              <w:rPr>
                <w:sz w:val="20"/>
              </w:rPr>
            </w:pPr>
            <w:r>
              <w:rPr>
                <w:sz w:val="20"/>
              </w:rPr>
              <w:t>Receivables for use of assets</w:t>
            </w:r>
            <w:r w:rsidRPr="00B34608">
              <w:rPr>
                <w:sz w:val="20"/>
              </w:rPr>
              <w:t xml:space="preserve">, </w:t>
            </w:r>
            <w:r>
              <w:rPr>
                <w:sz w:val="20"/>
              </w:rPr>
              <w:t>sold goods, assets</w:t>
            </w:r>
            <w:r w:rsidRPr="00B34608">
              <w:rPr>
                <w:sz w:val="20"/>
              </w:rPr>
              <w:t>,</w:t>
            </w:r>
            <w:r>
              <w:rPr>
                <w:sz w:val="20"/>
              </w:rPr>
              <w:t xml:space="preserve"> services</w:t>
            </w:r>
            <w:r w:rsidRPr="00B34608">
              <w:rPr>
                <w:sz w:val="20"/>
              </w:rPr>
              <w:t> </w:t>
            </w:r>
          </w:p>
        </w:tc>
        <w:tc>
          <w:tcPr>
            <w:tcW w:w="1701" w:type="dxa"/>
            <w:tcBorders>
              <w:top w:val="single" w:sz="4" w:space="0" w:color="auto"/>
              <w:left w:val="nil"/>
              <w:bottom w:val="single" w:sz="4" w:space="0" w:color="auto"/>
              <w:right w:val="single" w:sz="4" w:space="0" w:color="000000"/>
            </w:tcBorders>
          </w:tcPr>
          <w:p w:rsidR="00D2569B" w:rsidRPr="00B34608" w:rsidRDefault="00D2569B" w:rsidP="00C64390">
            <w:pPr>
              <w:rPr>
                <w:sz w:val="20"/>
              </w:rPr>
            </w:pPr>
          </w:p>
        </w:tc>
        <w:tc>
          <w:tcPr>
            <w:tcW w:w="1559" w:type="dxa"/>
            <w:tcBorders>
              <w:top w:val="single" w:sz="4" w:space="0" w:color="auto"/>
              <w:left w:val="nil"/>
              <w:bottom w:val="single" w:sz="4" w:space="0" w:color="auto"/>
              <w:right w:val="single" w:sz="4" w:space="0" w:color="000000"/>
            </w:tcBorders>
          </w:tcPr>
          <w:p w:rsidR="00D2569B" w:rsidRPr="00B34608" w:rsidRDefault="00D2569B" w:rsidP="00C64390">
            <w:pPr>
              <w:rPr>
                <w:sz w:val="20"/>
              </w:rPr>
            </w:pPr>
          </w:p>
        </w:tc>
      </w:tr>
      <w:tr w:rsidR="00D2569B" w:rsidRPr="00B34608" w:rsidTr="00CD17A9">
        <w:trPr>
          <w:trHeight w:val="265"/>
        </w:trPr>
        <w:tc>
          <w:tcPr>
            <w:tcW w:w="851" w:type="dxa"/>
            <w:tcBorders>
              <w:top w:val="nil"/>
              <w:left w:val="single" w:sz="4" w:space="0" w:color="auto"/>
              <w:bottom w:val="single" w:sz="4" w:space="0" w:color="auto"/>
              <w:right w:val="single" w:sz="4" w:space="0" w:color="auto"/>
            </w:tcBorders>
            <w:vAlign w:val="center"/>
          </w:tcPr>
          <w:p w:rsidR="00D2569B" w:rsidRPr="00B34608" w:rsidRDefault="00D2569B" w:rsidP="00C64390">
            <w:pPr>
              <w:jc w:val="center"/>
              <w:rPr>
                <w:sz w:val="20"/>
              </w:rPr>
            </w:pPr>
            <w:r w:rsidRPr="00B34608">
              <w:rPr>
                <w:sz w:val="20"/>
              </w:rPr>
              <w:t>1.4.</w:t>
            </w:r>
          </w:p>
        </w:tc>
        <w:tc>
          <w:tcPr>
            <w:tcW w:w="5387" w:type="dxa"/>
            <w:tcBorders>
              <w:top w:val="single" w:sz="4" w:space="0" w:color="auto"/>
              <w:left w:val="nil"/>
              <w:bottom w:val="single" w:sz="4" w:space="0" w:color="auto"/>
              <w:right w:val="single" w:sz="4" w:space="0" w:color="000000"/>
            </w:tcBorders>
            <w:vAlign w:val="center"/>
          </w:tcPr>
          <w:p w:rsidR="00D2569B" w:rsidRPr="00B34608" w:rsidRDefault="00D2569B" w:rsidP="00C64390">
            <w:pPr>
              <w:rPr>
                <w:sz w:val="20"/>
              </w:rPr>
            </w:pPr>
            <w:r>
              <w:rPr>
                <w:sz w:val="20"/>
              </w:rPr>
              <w:t>Receivables for confiscates assets, fines and other penalties</w:t>
            </w:r>
          </w:p>
        </w:tc>
        <w:tc>
          <w:tcPr>
            <w:tcW w:w="1701" w:type="dxa"/>
            <w:tcBorders>
              <w:top w:val="single" w:sz="4" w:space="0" w:color="auto"/>
              <w:left w:val="nil"/>
              <w:bottom w:val="single" w:sz="4" w:space="0" w:color="auto"/>
              <w:right w:val="single" w:sz="4" w:space="0" w:color="000000"/>
            </w:tcBorders>
          </w:tcPr>
          <w:p w:rsidR="00D2569B" w:rsidRPr="00B34608" w:rsidRDefault="00D2569B" w:rsidP="00C64390">
            <w:pPr>
              <w:rPr>
                <w:sz w:val="20"/>
              </w:rPr>
            </w:pPr>
          </w:p>
        </w:tc>
        <w:tc>
          <w:tcPr>
            <w:tcW w:w="1559" w:type="dxa"/>
            <w:tcBorders>
              <w:top w:val="single" w:sz="4" w:space="0" w:color="auto"/>
              <w:left w:val="nil"/>
              <w:bottom w:val="single" w:sz="4" w:space="0" w:color="auto"/>
              <w:right w:val="single" w:sz="4" w:space="0" w:color="000000"/>
            </w:tcBorders>
          </w:tcPr>
          <w:p w:rsidR="00D2569B" w:rsidRPr="00B34608" w:rsidRDefault="00D2569B" w:rsidP="00C64390">
            <w:pPr>
              <w:rPr>
                <w:sz w:val="20"/>
              </w:rPr>
            </w:pPr>
          </w:p>
        </w:tc>
      </w:tr>
      <w:tr w:rsidR="00D2569B" w:rsidRPr="00B34608" w:rsidTr="00CD17A9">
        <w:trPr>
          <w:trHeight w:val="259"/>
        </w:trPr>
        <w:tc>
          <w:tcPr>
            <w:tcW w:w="851"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C64390">
            <w:pPr>
              <w:jc w:val="center"/>
              <w:rPr>
                <w:sz w:val="20"/>
              </w:rPr>
            </w:pPr>
            <w:r w:rsidRPr="00B34608">
              <w:rPr>
                <w:sz w:val="20"/>
              </w:rPr>
              <w:t>1.5.</w:t>
            </w:r>
          </w:p>
        </w:tc>
        <w:tc>
          <w:tcPr>
            <w:tcW w:w="5387"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C64390">
            <w:pPr>
              <w:rPr>
                <w:sz w:val="20"/>
              </w:rPr>
            </w:pPr>
            <w:r>
              <w:rPr>
                <w:sz w:val="20"/>
              </w:rPr>
              <w:t>Accrued receivables</w:t>
            </w:r>
          </w:p>
        </w:tc>
        <w:tc>
          <w:tcPr>
            <w:tcW w:w="1701" w:type="dxa"/>
            <w:tcBorders>
              <w:top w:val="single" w:sz="4" w:space="0" w:color="auto"/>
              <w:left w:val="single" w:sz="4" w:space="0" w:color="auto"/>
              <w:bottom w:val="single" w:sz="4" w:space="0" w:color="auto"/>
              <w:right w:val="single" w:sz="4" w:space="0" w:color="000000"/>
            </w:tcBorders>
          </w:tcPr>
          <w:p w:rsidR="00D2569B" w:rsidRPr="00B34608" w:rsidRDefault="00D2569B" w:rsidP="003C7FBD">
            <w:pPr>
              <w:jc w:val="right"/>
              <w:rPr>
                <w:sz w:val="20"/>
              </w:rPr>
            </w:pPr>
            <w:r w:rsidRPr="00B34608">
              <w:rPr>
                <w:sz w:val="20"/>
              </w:rPr>
              <w:t>42</w:t>
            </w:r>
            <w:r>
              <w:rPr>
                <w:sz w:val="20"/>
              </w:rPr>
              <w:t>,</w:t>
            </w:r>
            <w:r w:rsidRPr="00B34608">
              <w:rPr>
                <w:sz w:val="20"/>
              </w:rPr>
              <w:t>443</w:t>
            </w:r>
            <w:r>
              <w:rPr>
                <w:sz w:val="20"/>
              </w:rPr>
              <w:t>,</w:t>
            </w:r>
            <w:r w:rsidRPr="00B34608">
              <w:rPr>
                <w:sz w:val="20"/>
              </w:rPr>
              <w:t>000</w:t>
            </w:r>
          </w:p>
        </w:tc>
        <w:tc>
          <w:tcPr>
            <w:tcW w:w="1559" w:type="dxa"/>
            <w:tcBorders>
              <w:top w:val="single" w:sz="4" w:space="0" w:color="auto"/>
              <w:left w:val="single" w:sz="4" w:space="0" w:color="auto"/>
              <w:bottom w:val="single" w:sz="4" w:space="0" w:color="auto"/>
              <w:right w:val="single" w:sz="4" w:space="0" w:color="000000"/>
            </w:tcBorders>
          </w:tcPr>
          <w:p w:rsidR="00D2569B" w:rsidRPr="00B34608" w:rsidRDefault="00D2569B" w:rsidP="00C43263">
            <w:pPr>
              <w:jc w:val="right"/>
              <w:rPr>
                <w:sz w:val="20"/>
              </w:rPr>
            </w:pPr>
            <w:r w:rsidRPr="00B34608">
              <w:rPr>
                <w:sz w:val="20"/>
              </w:rPr>
              <w:t>60</w:t>
            </w:r>
            <w:r>
              <w:rPr>
                <w:sz w:val="20"/>
              </w:rPr>
              <w:t>,</w:t>
            </w:r>
            <w:r w:rsidRPr="00B34608">
              <w:rPr>
                <w:sz w:val="20"/>
              </w:rPr>
              <w:t>221</w:t>
            </w:r>
            <w:r>
              <w:rPr>
                <w:sz w:val="20"/>
              </w:rPr>
              <w:t>,</w:t>
            </w:r>
            <w:r w:rsidRPr="00B34608">
              <w:rPr>
                <w:sz w:val="20"/>
              </w:rPr>
              <w:t>000</w:t>
            </w:r>
          </w:p>
        </w:tc>
      </w:tr>
      <w:tr w:rsidR="00D2569B" w:rsidRPr="00B34608" w:rsidTr="00CD17A9">
        <w:trPr>
          <w:trHeight w:val="259"/>
        </w:trPr>
        <w:tc>
          <w:tcPr>
            <w:tcW w:w="851"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C64390">
            <w:pPr>
              <w:jc w:val="center"/>
              <w:rPr>
                <w:sz w:val="20"/>
              </w:rPr>
            </w:pPr>
            <w:r w:rsidRPr="00B34608">
              <w:rPr>
                <w:sz w:val="20"/>
              </w:rPr>
              <w:t>1.5.1.</w:t>
            </w:r>
          </w:p>
        </w:tc>
        <w:tc>
          <w:tcPr>
            <w:tcW w:w="5387" w:type="dxa"/>
            <w:tcBorders>
              <w:top w:val="single" w:sz="4" w:space="0" w:color="auto"/>
              <w:left w:val="nil"/>
              <w:bottom w:val="single" w:sz="4" w:space="0" w:color="auto"/>
              <w:right w:val="single" w:sz="4" w:space="0" w:color="auto"/>
            </w:tcBorders>
            <w:vAlign w:val="center"/>
          </w:tcPr>
          <w:p w:rsidR="00D2569B" w:rsidRPr="00B34608" w:rsidRDefault="00D2569B" w:rsidP="00C64390">
            <w:pPr>
              <w:rPr>
                <w:sz w:val="20"/>
              </w:rPr>
            </w:pPr>
            <w:r>
              <w:rPr>
                <w:sz w:val="20"/>
              </w:rPr>
              <w:t>From the budget</w:t>
            </w:r>
          </w:p>
        </w:tc>
        <w:tc>
          <w:tcPr>
            <w:tcW w:w="1701" w:type="dxa"/>
            <w:tcBorders>
              <w:top w:val="nil"/>
              <w:left w:val="nil"/>
              <w:bottom w:val="single" w:sz="4" w:space="0" w:color="auto"/>
              <w:right w:val="single" w:sz="4" w:space="0" w:color="auto"/>
            </w:tcBorders>
          </w:tcPr>
          <w:p w:rsidR="00D2569B" w:rsidRPr="00B34608" w:rsidRDefault="00D2569B" w:rsidP="00705BA7">
            <w:pPr>
              <w:jc w:val="right"/>
              <w:rPr>
                <w:sz w:val="20"/>
              </w:rPr>
            </w:pPr>
          </w:p>
        </w:tc>
        <w:tc>
          <w:tcPr>
            <w:tcW w:w="1559" w:type="dxa"/>
            <w:tcBorders>
              <w:top w:val="nil"/>
              <w:left w:val="nil"/>
              <w:bottom w:val="single" w:sz="4" w:space="0" w:color="auto"/>
              <w:right w:val="single" w:sz="4" w:space="0" w:color="auto"/>
            </w:tcBorders>
          </w:tcPr>
          <w:p w:rsidR="00D2569B" w:rsidRPr="00B34608" w:rsidRDefault="00D2569B" w:rsidP="00705BA7">
            <w:pPr>
              <w:jc w:val="right"/>
              <w:rPr>
                <w:sz w:val="20"/>
              </w:rPr>
            </w:pPr>
          </w:p>
        </w:tc>
      </w:tr>
      <w:tr w:rsidR="00D2569B" w:rsidRPr="00B34608" w:rsidTr="00CD17A9">
        <w:trPr>
          <w:trHeight w:val="259"/>
        </w:trPr>
        <w:tc>
          <w:tcPr>
            <w:tcW w:w="851" w:type="dxa"/>
            <w:tcBorders>
              <w:top w:val="nil"/>
              <w:left w:val="single" w:sz="4" w:space="0" w:color="auto"/>
              <w:bottom w:val="single" w:sz="4" w:space="0" w:color="auto"/>
              <w:right w:val="single" w:sz="4" w:space="0" w:color="auto"/>
            </w:tcBorders>
            <w:vAlign w:val="center"/>
          </w:tcPr>
          <w:p w:rsidR="00D2569B" w:rsidRPr="00B34608" w:rsidRDefault="00D2569B" w:rsidP="00C64390">
            <w:pPr>
              <w:jc w:val="center"/>
              <w:rPr>
                <w:sz w:val="20"/>
              </w:rPr>
            </w:pPr>
            <w:r w:rsidRPr="00B34608">
              <w:rPr>
                <w:sz w:val="20"/>
              </w:rPr>
              <w:t>1.5.2.</w:t>
            </w:r>
          </w:p>
        </w:tc>
        <w:tc>
          <w:tcPr>
            <w:tcW w:w="5387" w:type="dxa"/>
            <w:tcBorders>
              <w:top w:val="nil"/>
              <w:left w:val="nil"/>
              <w:bottom w:val="single" w:sz="4" w:space="0" w:color="auto"/>
              <w:right w:val="single" w:sz="4" w:space="0" w:color="auto"/>
            </w:tcBorders>
            <w:vAlign w:val="center"/>
          </w:tcPr>
          <w:p w:rsidR="00D2569B" w:rsidRPr="00B34608" w:rsidRDefault="00D2569B" w:rsidP="00C64390">
            <w:pPr>
              <w:rPr>
                <w:sz w:val="20"/>
              </w:rPr>
            </w:pPr>
            <w:r>
              <w:rPr>
                <w:sz w:val="20"/>
              </w:rPr>
              <w:t>Other</w:t>
            </w:r>
            <w:r w:rsidRPr="00B34608">
              <w:rPr>
                <w:sz w:val="20"/>
              </w:rPr>
              <w:t>:</w:t>
            </w:r>
          </w:p>
        </w:tc>
        <w:tc>
          <w:tcPr>
            <w:tcW w:w="1701" w:type="dxa"/>
            <w:tcBorders>
              <w:top w:val="nil"/>
              <w:left w:val="nil"/>
              <w:bottom w:val="single" w:sz="4" w:space="0" w:color="auto"/>
              <w:right w:val="single" w:sz="4" w:space="0" w:color="auto"/>
            </w:tcBorders>
          </w:tcPr>
          <w:p w:rsidR="00D2569B" w:rsidRPr="00B34608" w:rsidRDefault="00D2569B" w:rsidP="003C7FBD">
            <w:pPr>
              <w:jc w:val="right"/>
              <w:rPr>
                <w:sz w:val="20"/>
              </w:rPr>
            </w:pPr>
            <w:r>
              <w:rPr>
                <w:sz w:val="20"/>
              </w:rPr>
              <w:t>42,</w:t>
            </w:r>
            <w:r w:rsidRPr="00B34608">
              <w:rPr>
                <w:sz w:val="20"/>
              </w:rPr>
              <w:t>443</w:t>
            </w:r>
            <w:r>
              <w:rPr>
                <w:sz w:val="20"/>
              </w:rPr>
              <w:t>,</w:t>
            </w:r>
            <w:r w:rsidRPr="00B34608">
              <w:rPr>
                <w:sz w:val="20"/>
              </w:rPr>
              <w:t>000</w:t>
            </w:r>
          </w:p>
        </w:tc>
        <w:tc>
          <w:tcPr>
            <w:tcW w:w="1559" w:type="dxa"/>
            <w:tcBorders>
              <w:top w:val="nil"/>
              <w:left w:val="nil"/>
              <w:bottom w:val="single" w:sz="4" w:space="0" w:color="auto"/>
              <w:right w:val="single" w:sz="4" w:space="0" w:color="auto"/>
            </w:tcBorders>
          </w:tcPr>
          <w:p w:rsidR="00D2569B" w:rsidRPr="00B34608" w:rsidRDefault="00D2569B" w:rsidP="00C43263">
            <w:pPr>
              <w:jc w:val="right"/>
              <w:rPr>
                <w:sz w:val="20"/>
              </w:rPr>
            </w:pPr>
            <w:r w:rsidRPr="00B34608">
              <w:rPr>
                <w:sz w:val="20"/>
              </w:rPr>
              <w:t>60</w:t>
            </w:r>
            <w:r>
              <w:rPr>
                <w:sz w:val="20"/>
              </w:rPr>
              <w:t>,</w:t>
            </w:r>
            <w:r w:rsidRPr="00B34608">
              <w:rPr>
                <w:sz w:val="20"/>
              </w:rPr>
              <w:t>221</w:t>
            </w:r>
            <w:r>
              <w:rPr>
                <w:sz w:val="20"/>
              </w:rPr>
              <w:t>,</w:t>
            </w:r>
            <w:r w:rsidRPr="00B34608">
              <w:rPr>
                <w:sz w:val="20"/>
              </w:rPr>
              <w:t>000</w:t>
            </w:r>
          </w:p>
        </w:tc>
      </w:tr>
      <w:tr w:rsidR="00D2569B" w:rsidRPr="00B34608" w:rsidTr="00CD17A9">
        <w:trPr>
          <w:trHeight w:val="259"/>
        </w:trPr>
        <w:tc>
          <w:tcPr>
            <w:tcW w:w="851" w:type="dxa"/>
            <w:tcBorders>
              <w:top w:val="nil"/>
              <w:left w:val="single" w:sz="4" w:space="0" w:color="auto"/>
              <w:bottom w:val="single" w:sz="4" w:space="0" w:color="auto"/>
              <w:right w:val="single" w:sz="4" w:space="0" w:color="auto"/>
            </w:tcBorders>
            <w:vAlign w:val="center"/>
          </w:tcPr>
          <w:p w:rsidR="00D2569B" w:rsidRPr="00B34608" w:rsidRDefault="00D2569B" w:rsidP="00C64390">
            <w:pPr>
              <w:jc w:val="center"/>
              <w:rPr>
                <w:i/>
                <w:sz w:val="20"/>
              </w:rPr>
            </w:pPr>
            <w:r w:rsidRPr="00B34608">
              <w:rPr>
                <w:i/>
                <w:sz w:val="20"/>
              </w:rPr>
              <w:lastRenderedPageBreak/>
              <w:t>1.5.2.1</w:t>
            </w:r>
          </w:p>
        </w:tc>
        <w:tc>
          <w:tcPr>
            <w:tcW w:w="5387" w:type="dxa"/>
            <w:tcBorders>
              <w:top w:val="nil"/>
              <w:left w:val="nil"/>
              <w:bottom w:val="single" w:sz="4" w:space="0" w:color="auto"/>
              <w:right w:val="single" w:sz="4" w:space="0" w:color="auto"/>
            </w:tcBorders>
            <w:vAlign w:val="center"/>
          </w:tcPr>
          <w:p w:rsidR="00D2569B" w:rsidRPr="00B34608" w:rsidRDefault="00D2569B" w:rsidP="00C64390">
            <w:pPr>
              <w:rPr>
                <w:i/>
                <w:sz w:val="20"/>
              </w:rPr>
            </w:pPr>
            <w:r>
              <w:rPr>
                <w:i/>
                <w:sz w:val="20"/>
              </w:rPr>
              <w:t>Receivable credit claim</w:t>
            </w:r>
          </w:p>
        </w:tc>
        <w:tc>
          <w:tcPr>
            <w:tcW w:w="1701" w:type="dxa"/>
            <w:tcBorders>
              <w:top w:val="nil"/>
              <w:left w:val="nil"/>
              <w:bottom w:val="single" w:sz="4" w:space="0" w:color="auto"/>
              <w:right w:val="single" w:sz="4" w:space="0" w:color="auto"/>
            </w:tcBorders>
          </w:tcPr>
          <w:p w:rsidR="00D2569B" w:rsidRPr="00B34608" w:rsidRDefault="00D2569B" w:rsidP="00705BA7">
            <w:pPr>
              <w:jc w:val="right"/>
              <w:rPr>
                <w:i/>
                <w:sz w:val="20"/>
              </w:rPr>
            </w:pPr>
            <w:r w:rsidRPr="00B34608">
              <w:rPr>
                <w:i/>
                <w:sz w:val="20"/>
              </w:rPr>
              <w:t>42</w:t>
            </w:r>
            <w:r>
              <w:rPr>
                <w:i/>
                <w:sz w:val="20"/>
              </w:rPr>
              <w:t>,</w:t>
            </w:r>
            <w:r w:rsidRPr="00B34608">
              <w:rPr>
                <w:i/>
                <w:sz w:val="20"/>
              </w:rPr>
              <w:t>443</w:t>
            </w:r>
            <w:r>
              <w:rPr>
                <w:i/>
                <w:sz w:val="20"/>
              </w:rPr>
              <w:t>,</w:t>
            </w:r>
            <w:r w:rsidRPr="00B34608">
              <w:rPr>
                <w:i/>
                <w:sz w:val="20"/>
              </w:rPr>
              <w:t>000</w:t>
            </w:r>
          </w:p>
        </w:tc>
        <w:tc>
          <w:tcPr>
            <w:tcW w:w="1559" w:type="dxa"/>
            <w:tcBorders>
              <w:top w:val="nil"/>
              <w:left w:val="nil"/>
              <w:bottom w:val="single" w:sz="4" w:space="0" w:color="auto"/>
              <w:right w:val="single" w:sz="4" w:space="0" w:color="auto"/>
            </w:tcBorders>
          </w:tcPr>
          <w:p w:rsidR="00D2569B" w:rsidRPr="00B34608" w:rsidRDefault="00D2569B" w:rsidP="00705BA7">
            <w:pPr>
              <w:jc w:val="right"/>
              <w:rPr>
                <w:i/>
                <w:sz w:val="20"/>
              </w:rPr>
            </w:pPr>
            <w:r w:rsidRPr="00B34608">
              <w:rPr>
                <w:i/>
                <w:sz w:val="20"/>
              </w:rPr>
              <w:t>60</w:t>
            </w:r>
            <w:r>
              <w:rPr>
                <w:i/>
                <w:sz w:val="20"/>
              </w:rPr>
              <w:t>,</w:t>
            </w:r>
            <w:r w:rsidRPr="00B34608">
              <w:rPr>
                <w:i/>
                <w:sz w:val="20"/>
              </w:rPr>
              <w:t>221</w:t>
            </w:r>
            <w:r>
              <w:rPr>
                <w:i/>
                <w:sz w:val="20"/>
              </w:rPr>
              <w:t>,</w:t>
            </w:r>
            <w:r w:rsidRPr="00B34608">
              <w:rPr>
                <w:i/>
                <w:sz w:val="20"/>
              </w:rPr>
              <w:t>000</w:t>
            </w:r>
          </w:p>
        </w:tc>
      </w:tr>
      <w:tr w:rsidR="00D2569B" w:rsidRPr="00B34608" w:rsidTr="00CD17A9">
        <w:trPr>
          <w:trHeight w:val="259"/>
        </w:trPr>
        <w:tc>
          <w:tcPr>
            <w:tcW w:w="851" w:type="dxa"/>
            <w:tcBorders>
              <w:top w:val="nil"/>
              <w:left w:val="single" w:sz="4" w:space="0" w:color="auto"/>
              <w:bottom w:val="single" w:sz="4" w:space="0" w:color="auto"/>
              <w:right w:val="single" w:sz="4" w:space="0" w:color="auto"/>
            </w:tcBorders>
            <w:vAlign w:val="center"/>
          </w:tcPr>
          <w:p w:rsidR="00D2569B" w:rsidRPr="00B34608" w:rsidRDefault="00D2569B" w:rsidP="00C64390">
            <w:pPr>
              <w:jc w:val="center"/>
              <w:rPr>
                <w:sz w:val="20"/>
              </w:rPr>
            </w:pPr>
            <w:r w:rsidRPr="00B34608">
              <w:rPr>
                <w:sz w:val="20"/>
              </w:rPr>
              <w:t>1.6.</w:t>
            </w:r>
          </w:p>
        </w:tc>
        <w:tc>
          <w:tcPr>
            <w:tcW w:w="5387" w:type="dxa"/>
            <w:tcBorders>
              <w:top w:val="single" w:sz="4" w:space="0" w:color="auto"/>
              <w:left w:val="nil"/>
              <w:bottom w:val="single" w:sz="4" w:space="0" w:color="auto"/>
              <w:right w:val="single" w:sz="4" w:space="0" w:color="000000"/>
            </w:tcBorders>
            <w:vAlign w:val="center"/>
          </w:tcPr>
          <w:p w:rsidR="00D2569B" w:rsidRPr="00B34608" w:rsidRDefault="00D2569B" w:rsidP="00C64390">
            <w:pPr>
              <w:rPr>
                <w:sz w:val="20"/>
              </w:rPr>
            </w:pPr>
            <w:r>
              <w:rPr>
                <w:sz w:val="20"/>
              </w:rPr>
              <w:t>Other receivables</w:t>
            </w:r>
            <w:r w:rsidRPr="00B34608">
              <w:rPr>
                <w:sz w:val="20"/>
              </w:rPr>
              <w:t>:</w:t>
            </w:r>
          </w:p>
        </w:tc>
        <w:tc>
          <w:tcPr>
            <w:tcW w:w="1701" w:type="dxa"/>
            <w:tcBorders>
              <w:top w:val="single" w:sz="4" w:space="0" w:color="auto"/>
              <w:left w:val="nil"/>
              <w:bottom w:val="single" w:sz="4" w:space="0" w:color="auto"/>
              <w:right w:val="single" w:sz="4" w:space="0" w:color="000000"/>
            </w:tcBorders>
          </w:tcPr>
          <w:p w:rsidR="00D2569B" w:rsidRPr="00B34608" w:rsidRDefault="00D2569B" w:rsidP="00705BA7">
            <w:pPr>
              <w:jc w:val="right"/>
              <w:rPr>
                <w:sz w:val="20"/>
              </w:rPr>
            </w:pPr>
            <w:r>
              <w:rPr>
                <w:sz w:val="20"/>
              </w:rPr>
              <w:t>1,</w:t>
            </w:r>
            <w:r w:rsidRPr="00B34608">
              <w:rPr>
                <w:sz w:val="20"/>
              </w:rPr>
              <w:t>941</w:t>
            </w:r>
          </w:p>
        </w:tc>
        <w:tc>
          <w:tcPr>
            <w:tcW w:w="1559" w:type="dxa"/>
            <w:tcBorders>
              <w:top w:val="single" w:sz="4" w:space="0" w:color="auto"/>
              <w:left w:val="nil"/>
              <w:bottom w:val="single" w:sz="4" w:space="0" w:color="auto"/>
              <w:right w:val="single" w:sz="4" w:space="0" w:color="000000"/>
            </w:tcBorders>
          </w:tcPr>
          <w:p w:rsidR="00D2569B" w:rsidRPr="00B34608" w:rsidRDefault="00D2569B" w:rsidP="00705BA7">
            <w:pPr>
              <w:jc w:val="right"/>
              <w:rPr>
                <w:sz w:val="20"/>
              </w:rPr>
            </w:pPr>
            <w:r>
              <w:rPr>
                <w:sz w:val="20"/>
              </w:rPr>
              <w:t>2,</w:t>
            </w:r>
            <w:r w:rsidRPr="00B34608">
              <w:rPr>
                <w:sz w:val="20"/>
              </w:rPr>
              <w:t>178</w:t>
            </w:r>
          </w:p>
        </w:tc>
      </w:tr>
      <w:tr w:rsidR="00D2569B" w:rsidRPr="00B34608" w:rsidTr="00CD17A9">
        <w:trPr>
          <w:trHeight w:val="259"/>
        </w:trPr>
        <w:tc>
          <w:tcPr>
            <w:tcW w:w="851" w:type="dxa"/>
            <w:tcBorders>
              <w:top w:val="nil"/>
              <w:left w:val="single" w:sz="4" w:space="0" w:color="auto"/>
              <w:bottom w:val="single" w:sz="4" w:space="0" w:color="auto"/>
              <w:right w:val="single" w:sz="4" w:space="0" w:color="auto"/>
            </w:tcBorders>
            <w:vAlign w:val="center"/>
          </w:tcPr>
          <w:p w:rsidR="00D2569B" w:rsidRPr="00B34608" w:rsidRDefault="00D2569B" w:rsidP="00C64390">
            <w:pPr>
              <w:jc w:val="center"/>
              <w:rPr>
                <w:i/>
                <w:sz w:val="20"/>
              </w:rPr>
            </w:pPr>
            <w:r w:rsidRPr="00B34608">
              <w:rPr>
                <w:i/>
                <w:sz w:val="20"/>
              </w:rPr>
              <w:t>1.6.1.</w:t>
            </w:r>
          </w:p>
        </w:tc>
        <w:tc>
          <w:tcPr>
            <w:tcW w:w="5387" w:type="dxa"/>
            <w:tcBorders>
              <w:top w:val="single" w:sz="4" w:space="0" w:color="auto"/>
              <w:left w:val="nil"/>
              <w:bottom w:val="single" w:sz="4" w:space="0" w:color="auto"/>
              <w:right w:val="single" w:sz="4" w:space="0" w:color="000000"/>
            </w:tcBorders>
            <w:vAlign w:val="center"/>
          </w:tcPr>
          <w:p w:rsidR="00D2569B" w:rsidRPr="00B34608" w:rsidRDefault="00D2569B" w:rsidP="00C64390">
            <w:pPr>
              <w:rPr>
                <w:i/>
                <w:sz w:val="20"/>
              </w:rPr>
            </w:pPr>
            <w:r>
              <w:rPr>
                <w:i/>
                <w:sz w:val="20"/>
              </w:rPr>
              <w:t>According to insurance compensations awarded by court</w:t>
            </w:r>
          </w:p>
        </w:tc>
        <w:tc>
          <w:tcPr>
            <w:tcW w:w="1701" w:type="dxa"/>
            <w:tcBorders>
              <w:top w:val="single" w:sz="4" w:space="0" w:color="auto"/>
              <w:left w:val="nil"/>
              <w:bottom w:val="single" w:sz="4" w:space="0" w:color="auto"/>
              <w:right w:val="single" w:sz="4" w:space="0" w:color="000000"/>
            </w:tcBorders>
          </w:tcPr>
          <w:p w:rsidR="00D2569B" w:rsidRPr="00B34608" w:rsidRDefault="00D2569B" w:rsidP="00705BA7">
            <w:pPr>
              <w:jc w:val="right"/>
              <w:rPr>
                <w:i/>
                <w:sz w:val="20"/>
              </w:rPr>
            </w:pPr>
            <w:r>
              <w:rPr>
                <w:i/>
                <w:sz w:val="20"/>
              </w:rPr>
              <w:t>1,</w:t>
            </w:r>
            <w:r w:rsidRPr="00B34608">
              <w:rPr>
                <w:i/>
                <w:sz w:val="20"/>
              </w:rPr>
              <w:t>721</w:t>
            </w:r>
          </w:p>
        </w:tc>
        <w:tc>
          <w:tcPr>
            <w:tcW w:w="1559" w:type="dxa"/>
            <w:tcBorders>
              <w:top w:val="single" w:sz="4" w:space="0" w:color="auto"/>
              <w:left w:val="nil"/>
              <w:bottom w:val="single" w:sz="4" w:space="0" w:color="auto"/>
              <w:right w:val="single" w:sz="4" w:space="0" w:color="000000"/>
            </w:tcBorders>
          </w:tcPr>
          <w:p w:rsidR="00D2569B" w:rsidRPr="00B34608" w:rsidRDefault="00D2569B" w:rsidP="00705BA7">
            <w:pPr>
              <w:jc w:val="right"/>
              <w:rPr>
                <w:i/>
                <w:sz w:val="20"/>
              </w:rPr>
            </w:pPr>
            <w:r w:rsidRPr="00B34608">
              <w:rPr>
                <w:i/>
                <w:sz w:val="20"/>
              </w:rPr>
              <w:t>1</w:t>
            </w:r>
            <w:r>
              <w:rPr>
                <w:i/>
                <w:sz w:val="20"/>
              </w:rPr>
              <w:t>,</w:t>
            </w:r>
            <w:r w:rsidRPr="00B34608">
              <w:rPr>
                <w:i/>
                <w:sz w:val="20"/>
              </w:rPr>
              <w:t>721</w:t>
            </w:r>
          </w:p>
        </w:tc>
      </w:tr>
      <w:tr w:rsidR="00D2569B" w:rsidRPr="00B34608" w:rsidTr="00CD17A9">
        <w:trPr>
          <w:trHeight w:val="259"/>
        </w:trPr>
        <w:tc>
          <w:tcPr>
            <w:tcW w:w="851" w:type="dxa"/>
            <w:tcBorders>
              <w:top w:val="nil"/>
              <w:left w:val="single" w:sz="4" w:space="0" w:color="auto"/>
              <w:bottom w:val="single" w:sz="4" w:space="0" w:color="auto"/>
              <w:right w:val="single" w:sz="4" w:space="0" w:color="auto"/>
            </w:tcBorders>
            <w:vAlign w:val="center"/>
          </w:tcPr>
          <w:p w:rsidR="00D2569B" w:rsidRPr="00B34608" w:rsidRDefault="00D2569B" w:rsidP="00C64390">
            <w:pPr>
              <w:jc w:val="center"/>
              <w:rPr>
                <w:i/>
                <w:sz w:val="20"/>
              </w:rPr>
            </w:pPr>
            <w:r w:rsidRPr="00B34608">
              <w:rPr>
                <w:i/>
                <w:sz w:val="20"/>
              </w:rPr>
              <w:t>1.6.2.</w:t>
            </w:r>
          </w:p>
        </w:tc>
        <w:tc>
          <w:tcPr>
            <w:tcW w:w="5387" w:type="dxa"/>
            <w:tcBorders>
              <w:top w:val="single" w:sz="4" w:space="0" w:color="auto"/>
              <w:left w:val="nil"/>
              <w:bottom w:val="single" w:sz="4" w:space="0" w:color="auto"/>
              <w:right w:val="single" w:sz="4" w:space="0" w:color="000000"/>
            </w:tcBorders>
            <w:vAlign w:val="center"/>
          </w:tcPr>
          <w:p w:rsidR="00D2569B" w:rsidRPr="00B34608" w:rsidRDefault="00D2569B" w:rsidP="00C64390">
            <w:pPr>
              <w:rPr>
                <w:i/>
                <w:sz w:val="20"/>
              </w:rPr>
            </w:pPr>
            <w:r>
              <w:rPr>
                <w:i/>
                <w:sz w:val="20"/>
              </w:rPr>
              <w:t>Interest on insurance compensations awarded by court</w:t>
            </w:r>
          </w:p>
        </w:tc>
        <w:tc>
          <w:tcPr>
            <w:tcW w:w="1701" w:type="dxa"/>
            <w:tcBorders>
              <w:top w:val="single" w:sz="4" w:space="0" w:color="auto"/>
              <w:left w:val="nil"/>
              <w:bottom w:val="single" w:sz="4" w:space="0" w:color="auto"/>
              <w:right w:val="single" w:sz="4" w:space="0" w:color="000000"/>
            </w:tcBorders>
          </w:tcPr>
          <w:p w:rsidR="00D2569B" w:rsidRPr="00B34608" w:rsidRDefault="00D2569B" w:rsidP="00705BA7">
            <w:pPr>
              <w:jc w:val="right"/>
              <w:rPr>
                <w:i/>
                <w:sz w:val="20"/>
              </w:rPr>
            </w:pPr>
            <w:r w:rsidRPr="00B34608">
              <w:rPr>
                <w:i/>
                <w:sz w:val="20"/>
              </w:rPr>
              <w:t>220</w:t>
            </w:r>
          </w:p>
        </w:tc>
        <w:tc>
          <w:tcPr>
            <w:tcW w:w="1559" w:type="dxa"/>
            <w:tcBorders>
              <w:top w:val="single" w:sz="4" w:space="0" w:color="auto"/>
              <w:left w:val="nil"/>
              <w:bottom w:val="single" w:sz="4" w:space="0" w:color="auto"/>
              <w:right w:val="single" w:sz="4" w:space="0" w:color="000000"/>
            </w:tcBorders>
          </w:tcPr>
          <w:p w:rsidR="00D2569B" w:rsidRPr="00B34608" w:rsidRDefault="00D2569B" w:rsidP="00705BA7">
            <w:pPr>
              <w:jc w:val="right"/>
              <w:rPr>
                <w:i/>
                <w:sz w:val="20"/>
              </w:rPr>
            </w:pPr>
            <w:r w:rsidRPr="00B34608">
              <w:rPr>
                <w:i/>
                <w:sz w:val="20"/>
              </w:rPr>
              <w:t>457</w:t>
            </w:r>
          </w:p>
        </w:tc>
      </w:tr>
      <w:tr w:rsidR="00D2569B" w:rsidRPr="00B34608" w:rsidTr="00CD17A9">
        <w:trPr>
          <w:trHeight w:val="278"/>
        </w:trPr>
        <w:tc>
          <w:tcPr>
            <w:tcW w:w="851" w:type="dxa"/>
            <w:tcBorders>
              <w:top w:val="nil"/>
              <w:left w:val="single" w:sz="4" w:space="0" w:color="auto"/>
              <w:bottom w:val="single" w:sz="4" w:space="0" w:color="auto"/>
              <w:right w:val="single" w:sz="4" w:space="0" w:color="auto"/>
            </w:tcBorders>
            <w:vAlign w:val="center"/>
          </w:tcPr>
          <w:p w:rsidR="00D2569B" w:rsidRPr="00B34608" w:rsidRDefault="00D2569B" w:rsidP="00C64390">
            <w:pPr>
              <w:jc w:val="center"/>
              <w:rPr>
                <w:b/>
                <w:bCs/>
                <w:sz w:val="20"/>
              </w:rPr>
            </w:pPr>
            <w:r w:rsidRPr="00B34608">
              <w:rPr>
                <w:b/>
                <w:bCs/>
                <w:sz w:val="20"/>
              </w:rPr>
              <w:t>2.</w:t>
            </w:r>
          </w:p>
        </w:tc>
        <w:tc>
          <w:tcPr>
            <w:tcW w:w="5387" w:type="dxa"/>
            <w:tcBorders>
              <w:top w:val="single" w:sz="4" w:space="0" w:color="auto"/>
              <w:left w:val="nil"/>
              <w:bottom w:val="single" w:sz="4" w:space="0" w:color="auto"/>
              <w:right w:val="single" w:sz="4" w:space="0" w:color="000000"/>
            </w:tcBorders>
            <w:vAlign w:val="center"/>
          </w:tcPr>
          <w:p w:rsidR="00D2569B" w:rsidRPr="00B34608" w:rsidRDefault="00D2569B" w:rsidP="00C64390">
            <w:pPr>
              <w:rPr>
                <w:b/>
                <w:bCs/>
                <w:sz w:val="20"/>
              </w:rPr>
            </w:pPr>
            <w:r>
              <w:rPr>
                <w:b/>
                <w:bCs/>
                <w:sz w:val="20"/>
              </w:rPr>
              <w:t>Value impairment of amounts receivable within one year</w:t>
            </w:r>
            <w:r w:rsidRPr="00B34608">
              <w:rPr>
                <w:b/>
                <w:bCs/>
                <w:sz w:val="20"/>
              </w:rPr>
              <w:t xml:space="preserve"> </w:t>
            </w:r>
            <w:r>
              <w:rPr>
                <w:b/>
                <w:bCs/>
                <w:sz w:val="20"/>
              </w:rPr>
              <w:t>at the end of the reporting period</w:t>
            </w:r>
          </w:p>
        </w:tc>
        <w:tc>
          <w:tcPr>
            <w:tcW w:w="1701" w:type="dxa"/>
            <w:tcBorders>
              <w:top w:val="single" w:sz="4" w:space="0" w:color="auto"/>
              <w:left w:val="nil"/>
              <w:bottom w:val="single" w:sz="4" w:space="0" w:color="auto"/>
              <w:right w:val="single" w:sz="4" w:space="0" w:color="000000"/>
            </w:tcBorders>
          </w:tcPr>
          <w:p w:rsidR="00D2569B" w:rsidRPr="00B34608" w:rsidRDefault="00D2569B" w:rsidP="00705BA7">
            <w:pPr>
              <w:jc w:val="right"/>
              <w:rPr>
                <w:b/>
                <w:bCs/>
                <w:sz w:val="20"/>
              </w:rPr>
            </w:pPr>
          </w:p>
        </w:tc>
        <w:tc>
          <w:tcPr>
            <w:tcW w:w="1559" w:type="dxa"/>
            <w:tcBorders>
              <w:top w:val="single" w:sz="4" w:space="0" w:color="auto"/>
              <w:left w:val="nil"/>
              <w:bottom w:val="single" w:sz="4" w:space="0" w:color="auto"/>
              <w:right w:val="single" w:sz="4" w:space="0" w:color="000000"/>
            </w:tcBorders>
          </w:tcPr>
          <w:p w:rsidR="00D2569B" w:rsidRPr="00B34608" w:rsidRDefault="00D2569B" w:rsidP="00705BA7">
            <w:pPr>
              <w:jc w:val="right"/>
              <w:rPr>
                <w:b/>
                <w:bCs/>
                <w:sz w:val="20"/>
              </w:rPr>
            </w:pPr>
          </w:p>
        </w:tc>
      </w:tr>
      <w:tr w:rsidR="00D2569B" w:rsidRPr="00B34608" w:rsidTr="00CD17A9">
        <w:trPr>
          <w:trHeight w:val="278"/>
        </w:trPr>
        <w:tc>
          <w:tcPr>
            <w:tcW w:w="851" w:type="dxa"/>
            <w:tcBorders>
              <w:top w:val="nil"/>
              <w:left w:val="single" w:sz="4" w:space="0" w:color="auto"/>
              <w:bottom w:val="single" w:sz="4" w:space="0" w:color="auto"/>
              <w:right w:val="single" w:sz="4" w:space="0" w:color="auto"/>
            </w:tcBorders>
            <w:vAlign w:val="center"/>
          </w:tcPr>
          <w:p w:rsidR="00D2569B" w:rsidRPr="00B34608" w:rsidRDefault="00D2569B" w:rsidP="00C64390">
            <w:pPr>
              <w:jc w:val="center"/>
              <w:rPr>
                <w:b/>
                <w:bCs/>
                <w:sz w:val="20"/>
              </w:rPr>
            </w:pPr>
            <w:r w:rsidRPr="00B34608">
              <w:rPr>
                <w:b/>
                <w:bCs/>
                <w:sz w:val="20"/>
              </w:rPr>
              <w:t>3.</w:t>
            </w:r>
          </w:p>
        </w:tc>
        <w:tc>
          <w:tcPr>
            <w:tcW w:w="5387" w:type="dxa"/>
            <w:tcBorders>
              <w:top w:val="single" w:sz="4" w:space="0" w:color="auto"/>
              <w:left w:val="nil"/>
              <w:bottom w:val="single" w:sz="4" w:space="0" w:color="auto"/>
              <w:right w:val="single" w:sz="4" w:space="0" w:color="auto"/>
            </w:tcBorders>
            <w:vAlign w:val="center"/>
          </w:tcPr>
          <w:p w:rsidR="00D2569B" w:rsidRPr="00B34608" w:rsidRDefault="00D2569B" w:rsidP="00C64390">
            <w:pPr>
              <w:rPr>
                <w:b/>
                <w:bCs/>
                <w:sz w:val="20"/>
              </w:rPr>
            </w:pPr>
            <w:r>
              <w:rPr>
                <w:b/>
                <w:bCs/>
                <w:sz w:val="20"/>
              </w:rPr>
              <w:t>Carrying amount of amounts receivable within one year</w:t>
            </w:r>
            <w:r w:rsidRPr="00B34608">
              <w:rPr>
                <w:b/>
                <w:bCs/>
                <w:sz w:val="20"/>
              </w:rPr>
              <w:t xml:space="preserve"> (1-2)</w:t>
            </w:r>
          </w:p>
        </w:tc>
        <w:tc>
          <w:tcPr>
            <w:tcW w:w="1701" w:type="dxa"/>
            <w:tcBorders>
              <w:top w:val="single" w:sz="4" w:space="0" w:color="auto"/>
              <w:left w:val="nil"/>
              <w:bottom w:val="single" w:sz="4" w:space="0" w:color="auto"/>
              <w:right w:val="single" w:sz="4" w:space="0" w:color="auto"/>
            </w:tcBorders>
          </w:tcPr>
          <w:p w:rsidR="00D2569B" w:rsidRPr="00B34608" w:rsidRDefault="00D2569B" w:rsidP="00AB5345">
            <w:pPr>
              <w:jc w:val="right"/>
              <w:rPr>
                <w:b/>
                <w:bCs/>
                <w:sz w:val="20"/>
              </w:rPr>
            </w:pPr>
            <w:r w:rsidRPr="00B34608">
              <w:rPr>
                <w:b/>
                <w:bCs/>
                <w:sz w:val="20"/>
              </w:rPr>
              <w:t>42</w:t>
            </w:r>
            <w:r>
              <w:rPr>
                <w:b/>
                <w:bCs/>
                <w:sz w:val="20"/>
              </w:rPr>
              <w:t>,</w:t>
            </w:r>
            <w:r w:rsidRPr="00B34608">
              <w:rPr>
                <w:b/>
                <w:bCs/>
                <w:sz w:val="20"/>
              </w:rPr>
              <w:t>444.941</w:t>
            </w:r>
          </w:p>
        </w:tc>
        <w:tc>
          <w:tcPr>
            <w:tcW w:w="1559" w:type="dxa"/>
            <w:tcBorders>
              <w:top w:val="single" w:sz="4" w:space="0" w:color="auto"/>
              <w:left w:val="nil"/>
              <w:bottom w:val="single" w:sz="4" w:space="0" w:color="auto"/>
              <w:right w:val="single" w:sz="4" w:space="0" w:color="auto"/>
            </w:tcBorders>
          </w:tcPr>
          <w:p w:rsidR="00D2569B" w:rsidRPr="00B34608" w:rsidRDefault="00D2569B" w:rsidP="00705BA7">
            <w:pPr>
              <w:jc w:val="right"/>
              <w:rPr>
                <w:b/>
                <w:bCs/>
                <w:sz w:val="20"/>
              </w:rPr>
            </w:pPr>
            <w:r w:rsidRPr="00B34608">
              <w:rPr>
                <w:b/>
                <w:bCs/>
                <w:sz w:val="20"/>
              </w:rPr>
              <w:t>60</w:t>
            </w:r>
            <w:r>
              <w:rPr>
                <w:b/>
                <w:bCs/>
                <w:sz w:val="20"/>
              </w:rPr>
              <w:t>,</w:t>
            </w:r>
            <w:r w:rsidRPr="00B34608">
              <w:rPr>
                <w:b/>
                <w:bCs/>
                <w:sz w:val="20"/>
              </w:rPr>
              <w:t>223</w:t>
            </w:r>
            <w:r>
              <w:rPr>
                <w:b/>
                <w:bCs/>
                <w:sz w:val="20"/>
              </w:rPr>
              <w:t>,</w:t>
            </w:r>
            <w:r w:rsidRPr="00B34608">
              <w:rPr>
                <w:b/>
                <w:bCs/>
                <w:sz w:val="20"/>
              </w:rPr>
              <w:t>178</w:t>
            </w:r>
          </w:p>
          <w:p w:rsidR="00D2569B" w:rsidRPr="00B34608" w:rsidRDefault="00D2569B" w:rsidP="00705BA7">
            <w:pPr>
              <w:jc w:val="right"/>
              <w:rPr>
                <w:b/>
                <w:bCs/>
                <w:sz w:val="20"/>
              </w:rPr>
            </w:pPr>
          </w:p>
        </w:tc>
      </w:tr>
    </w:tbl>
    <w:p w:rsidR="00D2569B" w:rsidRPr="00B34608" w:rsidRDefault="00D2569B" w:rsidP="00106968">
      <w:pPr>
        <w:pStyle w:val="Antrat3"/>
        <w:tabs>
          <w:tab w:val="left" w:pos="0"/>
        </w:tabs>
        <w:spacing w:line="360" w:lineRule="auto"/>
        <w:rPr>
          <w:b/>
          <w:sz w:val="24"/>
        </w:rPr>
      </w:pPr>
    </w:p>
    <w:p w:rsidR="00D2569B" w:rsidRPr="00B34608" w:rsidRDefault="00D2569B" w:rsidP="00106968">
      <w:pPr>
        <w:pStyle w:val="Antrat3"/>
        <w:tabs>
          <w:tab w:val="left" w:pos="0"/>
        </w:tabs>
        <w:spacing w:line="360" w:lineRule="auto"/>
        <w:rPr>
          <w:b/>
          <w:sz w:val="24"/>
          <w:szCs w:val="24"/>
        </w:rPr>
      </w:pPr>
      <w:r>
        <w:rPr>
          <w:b/>
          <w:sz w:val="24"/>
        </w:rPr>
        <w:t xml:space="preserve">Note </w:t>
      </w:r>
      <w:r w:rsidRPr="00B34608">
        <w:rPr>
          <w:b/>
          <w:sz w:val="24"/>
        </w:rPr>
        <w:t xml:space="preserve">4. </w:t>
      </w:r>
      <w:r>
        <w:rPr>
          <w:b/>
          <w:sz w:val="24"/>
        </w:rPr>
        <w:t>Cash and cash equivalents</w:t>
      </w:r>
    </w:p>
    <w:p w:rsidR="00D2569B" w:rsidRPr="00B34608" w:rsidRDefault="00D2569B" w:rsidP="00CD17A9">
      <w:pPr>
        <w:ind w:left="-142" w:firstLine="142"/>
        <w:jc w:val="both"/>
        <w:rPr>
          <w:szCs w:val="22"/>
        </w:rPr>
      </w:pPr>
      <w:r w:rsidRPr="00B34608">
        <w:rPr>
          <w:color w:val="000000"/>
          <w:szCs w:val="22"/>
        </w:rPr>
        <w:t xml:space="preserve">       </w:t>
      </w:r>
      <w:r>
        <w:rPr>
          <w:color w:val="000000"/>
          <w:szCs w:val="22"/>
        </w:rPr>
        <w:t>The</w:t>
      </w:r>
      <w:r w:rsidRPr="00B34608">
        <w:rPr>
          <w:color w:val="000000"/>
          <w:szCs w:val="22"/>
        </w:rPr>
        <w:t xml:space="preserve"> </w:t>
      </w:r>
      <w:r>
        <w:rPr>
          <w:color w:val="000000"/>
          <w:szCs w:val="22"/>
        </w:rPr>
        <w:t>Fund’s proceeds are held in a separate bank account. Claims according to the</w:t>
      </w:r>
      <w:r w:rsidRPr="00B34608">
        <w:rPr>
          <w:color w:val="000000"/>
          <w:szCs w:val="22"/>
        </w:rPr>
        <w:t xml:space="preserve"> </w:t>
      </w:r>
      <w:r>
        <w:rPr>
          <w:color w:val="000000"/>
          <w:szCs w:val="22"/>
        </w:rPr>
        <w:t>Company’s obligations may not be levied on these proceeds</w:t>
      </w:r>
      <w:r w:rsidRPr="00B34608">
        <w:rPr>
          <w:color w:val="000000"/>
          <w:szCs w:val="22"/>
        </w:rPr>
        <w:t xml:space="preserve">. </w:t>
      </w:r>
      <w:r>
        <w:rPr>
          <w:color w:val="000000"/>
          <w:szCs w:val="22"/>
        </w:rPr>
        <w:t xml:space="preserve">As at 31 December </w:t>
      </w:r>
      <w:r w:rsidRPr="00B34608">
        <w:rPr>
          <w:szCs w:val="22"/>
        </w:rPr>
        <w:t>2017</w:t>
      </w:r>
      <w:r>
        <w:rPr>
          <w:szCs w:val="22"/>
        </w:rPr>
        <w:t>, cash balance in the bank account was EUR</w:t>
      </w:r>
      <w:r w:rsidRPr="00B34608">
        <w:rPr>
          <w:szCs w:val="22"/>
        </w:rPr>
        <w:t xml:space="preserve"> 55</w:t>
      </w:r>
      <w:r>
        <w:rPr>
          <w:szCs w:val="22"/>
        </w:rPr>
        <w:t>,</w:t>
      </w:r>
      <w:r w:rsidRPr="00B34608">
        <w:rPr>
          <w:szCs w:val="22"/>
        </w:rPr>
        <w:t>066</w:t>
      </w:r>
      <w:r>
        <w:rPr>
          <w:szCs w:val="22"/>
        </w:rPr>
        <w:t>,</w:t>
      </w:r>
      <w:r w:rsidRPr="00B34608">
        <w:rPr>
          <w:szCs w:val="22"/>
        </w:rPr>
        <w:t>007</w:t>
      </w:r>
      <w:r>
        <w:rPr>
          <w:szCs w:val="22"/>
        </w:rPr>
        <w:t xml:space="preserve"> </w:t>
      </w:r>
      <w:r w:rsidRPr="00B34608">
        <w:rPr>
          <w:szCs w:val="22"/>
        </w:rPr>
        <w:t>(</w:t>
      </w:r>
      <w:r>
        <w:rPr>
          <w:szCs w:val="22"/>
        </w:rPr>
        <w:t xml:space="preserve">Table </w:t>
      </w:r>
      <w:r w:rsidRPr="00B34608">
        <w:rPr>
          <w:szCs w:val="22"/>
        </w:rPr>
        <w:t xml:space="preserve">4). </w:t>
      </w:r>
    </w:p>
    <w:p w:rsidR="00D2569B" w:rsidRPr="00B34608" w:rsidRDefault="00D2569B" w:rsidP="0084148F">
      <w:pPr>
        <w:jc w:val="both"/>
        <w:rPr>
          <w:szCs w:val="22"/>
        </w:rPr>
      </w:pPr>
    </w:p>
    <w:p w:rsidR="00D2569B" w:rsidRPr="00B34608" w:rsidRDefault="00D2569B" w:rsidP="005A64C2">
      <w:pPr>
        <w:pStyle w:val="Antrat1"/>
        <w:tabs>
          <w:tab w:val="left" w:pos="0"/>
        </w:tabs>
        <w:spacing w:line="240" w:lineRule="auto"/>
        <w:rPr>
          <w:b w:val="0"/>
          <w:i/>
          <w:sz w:val="22"/>
          <w:szCs w:val="22"/>
        </w:rPr>
      </w:pPr>
      <w:bookmarkStart w:id="30" w:name="_Toc434332057"/>
      <w:bookmarkStart w:id="31" w:name="_Toc440639113"/>
      <w:r>
        <w:rPr>
          <w:b w:val="0"/>
          <w:i/>
          <w:sz w:val="22"/>
          <w:szCs w:val="22"/>
        </w:rPr>
        <w:t xml:space="preserve">Table </w:t>
      </w:r>
      <w:r w:rsidRPr="00B34608">
        <w:rPr>
          <w:b w:val="0"/>
          <w:i/>
          <w:sz w:val="22"/>
          <w:szCs w:val="22"/>
        </w:rPr>
        <w:t xml:space="preserve">4. </w:t>
      </w:r>
      <w:r>
        <w:rPr>
          <w:b w:val="0"/>
          <w:i/>
          <w:sz w:val="22"/>
          <w:szCs w:val="22"/>
        </w:rPr>
        <w:t>Data on balance of cash and cash equivalents</w:t>
      </w:r>
      <w:bookmarkEnd w:id="30"/>
      <w:bookmarkEnd w:id="31"/>
    </w:p>
    <w:tbl>
      <w:tblPr>
        <w:tblW w:w="9498" w:type="dxa"/>
        <w:tblInd w:w="-147" w:type="dxa"/>
        <w:tblLook w:val="00A0" w:firstRow="1" w:lastRow="0" w:firstColumn="1" w:lastColumn="0" w:noHBand="0" w:noVBand="0"/>
      </w:tblPr>
      <w:tblGrid>
        <w:gridCol w:w="709"/>
        <w:gridCol w:w="5387"/>
        <w:gridCol w:w="1559"/>
        <w:gridCol w:w="1843"/>
      </w:tblGrid>
      <w:tr w:rsidR="00D2569B" w:rsidRPr="00B34608" w:rsidTr="00CD17A9">
        <w:trPr>
          <w:trHeight w:val="102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2569B" w:rsidRPr="00B34608" w:rsidRDefault="00D2569B" w:rsidP="006E3E89">
            <w:pPr>
              <w:jc w:val="center"/>
              <w:rPr>
                <w:b/>
                <w:bCs/>
                <w:sz w:val="20"/>
              </w:rPr>
            </w:pPr>
            <w:r>
              <w:rPr>
                <w:b/>
                <w:bCs/>
                <w:sz w:val="20"/>
              </w:rPr>
              <w:t>Seq. No</w:t>
            </w:r>
          </w:p>
        </w:tc>
        <w:tc>
          <w:tcPr>
            <w:tcW w:w="5387" w:type="dxa"/>
            <w:tcBorders>
              <w:top w:val="single" w:sz="4" w:space="0" w:color="auto"/>
              <w:left w:val="nil"/>
              <w:bottom w:val="single" w:sz="4" w:space="0" w:color="auto"/>
              <w:right w:val="single" w:sz="4" w:space="0" w:color="auto"/>
            </w:tcBorders>
            <w:shd w:val="clear" w:color="000000" w:fill="FFFFFF"/>
            <w:vAlign w:val="center"/>
          </w:tcPr>
          <w:p w:rsidR="00D2569B" w:rsidRPr="00B34608" w:rsidRDefault="00D2569B" w:rsidP="006E3E89">
            <w:pPr>
              <w:tabs>
                <w:tab w:val="left" w:pos="0"/>
              </w:tabs>
              <w:jc w:val="center"/>
              <w:rPr>
                <w:b/>
                <w:bCs/>
                <w:sz w:val="20"/>
              </w:rPr>
            </w:pPr>
            <w:r>
              <w:rPr>
                <w:b/>
                <w:bCs/>
                <w:sz w:val="20"/>
              </w:rPr>
              <w:t>Item</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D2569B" w:rsidRPr="00B34608" w:rsidRDefault="00D2569B" w:rsidP="006E3E89">
            <w:pPr>
              <w:tabs>
                <w:tab w:val="left" w:pos="0"/>
              </w:tabs>
              <w:jc w:val="center"/>
              <w:rPr>
                <w:b/>
                <w:bCs/>
                <w:sz w:val="20"/>
              </w:rPr>
            </w:pPr>
            <w:r>
              <w:rPr>
                <w:b/>
                <w:bCs/>
                <w:sz w:val="20"/>
              </w:rPr>
              <w:t xml:space="preserve">31 12 </w:t>
            </w:r>
            <w:r w:rsidRPr="00B34608">
              <w:rPr>
                <w:b/>
                <w:bCs/>
                <w:sz w:val="20"/>
              </w:rPr>
              <w:t>2017</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D2569B" w:rsidRPr="00B34608" w:rsidRDefault="00D2569B" w:rsidP="006E3E89">
            <w:pPr>
              <w:tabs>
                <w:tab w:val="left" w:pos="0"/>
              </w:tabs>
              <w:jc w:val="center"/>
              <w:rPr>
                <w:b/>
                <w:bCs/>
                <w:sz w:val="20"/>
              </w:rPr>
            </w:pPr>
            <w:r>
              <w:rPr>
                <w:b/>
                <w:bCs/>
                <w:sz w:val="20"/>
              </w:rPr>
              <w:t xml:space="preserve">31 12 </w:t>
            </w:r>
            <w:r w:rsidRPr="00B34608">
              <w:rPr>
                <w:b/>
                <w:bCs/>
                <w:sz w:val="20"/>
              </w:rPr>
              <w:t>201</w:t>
            </w:r>
            <w:r>
              <w:rPr>
                <w:b/>
                <w:bCs/>
                <w:sz w:val="20"/>
              </w:rPr>
              <w:t>6</w:t>
            </w:r>
          </w:p>
        </w:tc>
      </w:tr>
      <w:tr w:rsidR="00D2569B" w:rsidRPr="00B34608" w:rsidTr="00CD17A9">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9F20FD">
            <w:pPr>
              <w:tabs>
                <w:tab w:val="left" w:pos="0"/>
              </w:tabs>
              <w:jc w:val="center"/>
              <w:rPr>
                <w:sz w:val="20"/>
              </w:rPr>
            </w:pPr>
            <w:r w:rsidRPr="00B34608">
              <w:rPr>
                <w:sz w:val="20"/>
              </w:rPr>
              <w:t>1</w:t>
            </w:r>
          </w:p>
        </w:tc>
        <w:tc>
          <w:tcPr>
            <w:tcW w:w="5387" w:type="dxa"/>
            <w:tcBorders>
              <w:top w:val="nil"/>
              <w:left w:val="nil"/>
              <w:bottom w:val="single" w:sz="4" w:space="0" w:color="auto"/>
              <w:right w:val="single" w:sz="4" w:space="0" w:color="auto"/>
            </w:tcBorders>
            <w:shd w:val="clear" w:color="000000" w:fill="FFFFFF"/>
            <w:vAlign w:val="bottom"/>
          </w:tcPr>
          <w:p w:rsidR="00D2569B" w:rsidRPr="00B34608" w:rsidRDefault="00D2569B" w:rsidP="009F20FD">
            <w:pPr>
              <w:tabs>
                <w:tab w:val="left" w:pos="0"/>
              </w:tabs>
              <w:jc w:val="center"/>
              <w:rPr>
                <w:sz w:val="20"/>
              </w:rPr>
            </w:pPr>
            <w:r w:rsidRPr="00B34608">
              <w:rPr>
                <w:sz w:val="20"/>
              </w:rPr>
              <w:t>2</w:t>
            </w:r>
          </w:p>
        </w:tc>
        <w:tc>
          <w:tcPr>
            <w:tcW w:w="1559" w:type="dxa"/>
            <w:tcBorders>
              <w:top w:val="nil"/>
              <w:left w:val="nil"/>
              <w:bottom w:val="single" w:sz="4" w:space="0" w:color="auto"/>
              <w:right w:val="single" w:sz="4" w:space="0" w:color="auto"/>
            </w:tcBorders>
            <w:shd w:val="clear" w:color="000000" w:fill="FFFFFF"/>
            <w:vAlign w:val="bottom"/>
          </w:tcPr>
          <w:p w:rsidR="00D2569B" w:rsidRPr="00B34608" w:rsidRDefault="00D2569B" w:rsidP="009F20FD">
            <w:pPr>
              <w:tabs>
                <w:tab w:val="left" w:pos="0"/>
              </w:tabs>
              <w:jc w:val="center"/>
              <w:rPr>
                <w:sz w:val="20"/>
              </w:rPr>
            </w:pPr>
            <w:r w:rsidRPr="00B34608">
              <w:rPr>
                <w:sz w:val="20"/>
              </w:rPr>
              <w:t>3</w:t>
            </w:r>
          </w:p>
        </w:tc>
        <w:tc>
          <w:tcPr>
            <w:tcW w:w="1843" w:type="dxa"/>
            <w:tcBorders>
              <w:top w:val="nil"/>
              <w:left w:val="nil"/>
              <w:bottom w:val="single" w:sz="4" w:space="0" w:color="auto"/>
              <w:right w:val="single" w:sz="4" w:space="0" w:color="auto"/>
            </w:tcBorders>
            <w:shd w:val="clear" w:color="000000" w:fill="FFFFFF"/>
          </w:tcPr>
          <w:p w:rsidR="00D2569B" w:rsidRPr="00B34608" w:rsidRDefault="00D2569B" w:rsidP="009F20FD">
            <w:pPr>
              <w:tabs>
                <w:tab w:val="left" w:pos="0"/>
              </w:tabs>
              <w:jc w:val="center"/>
              <w:rPr>
                <w:sz w:val="20"/>
              </w:rPr>
            </w:pPr>
            <w:r w:rsidRPr="00B34608">
              <w:rPr>
                <w:sz w:val="20"/>
              </w:rPr>
              <w:t>4</w:t>
            </w:r>
          </w:p>
        </w:tc>
      </w:tr>
      <w:tr w:rsidR="00D2569B" w:rsidRPr="00B34608" w:rsidTr="00CD17A9">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9F20FD">
            <w:pPr>
              <w:tabs>
                <w:tab w:val="left" w:pos="0"/>
              </w:tabs>
              <w:jc w:val="center"/>
              <w:rPr>
                <w:sz w:val="20"/>
              </w:rPr>
            </w:pPr>
            <w:r w:rsidRPr="00B34608">
              <w:rPr>
                <w:sz w:val="20"/>
              </w:rPr>
              <w:t>1.</w:t>
            </w:r>
          </w:p>
        </w:tc>
        <w:tc>
          <w:tcPr>
            <w:tcW w:w="5387" w:type="dxa"/>
            <w:tcBorders>
              <w:top w:val="nil"/>
              <w:left w:val="nil"/>
              <w:bottom w:val="single" w:sz="4" w:space="0" w:color="auto"/>
              <w:right w:val="single" w:sz="4" w:space="0" w:color="auto"/>
            </w:tcBorders>
            <w:shd w:val="clear" w:color="000000" w:fill="FFFFFF"/>
            <w:vAlign w:val="bottom"/>
          </w:tcPr>
          <w:p w:rsidR="00D2569B" w:rsidRPr="00B34608" w:rsidRDefault="00D2569B" w:rsidP="009F20FD">
            <w:pPr>
              <w:tabs>
                <w:tab w:val="left" w:pos="0"/>
              </w:tabs>
              <w:rPr>
                <w:b/>
                <w:bCs/>
                <w:sz w:val="20"/>
              </w:rPr>
            </w:pPr>
            <w:r>
              <w:rPr>
                <w:b/>
                <w:bCs/>
                <w:sz w:val="20"/>
              </w:rPr>
              <w:t>Cash from the State Budget</w:t>
            </w:r>
          </w:p>
        </w:tc>
        <w:tc>
          <w:tcPr>
            <w:tcW w:w="1559" w:type="dxa"/>
            <w:tcBorders>
              <w:top w:val="nil"/>
              <w:left w:val="nil"/>
              <w:bottom w:val="single" w:sz="4" w:space="0" w:color="auto"/>
              <w:right w:val="single" w:sz="4" w:space="0" w:color="auto"/>
            </w:tcBorders>
            <w:shd w:val="clear" w:color="000000" w:fill="FFFFFF"/>
            <w:vAlign w:val="bottom"/>
          </w:tcPr>
          <w:p w:rsidR="00D2569B" w:rsidRPr="00B34608" w:rsidRDefault="00D2569B" w:rsidP="009F20FD">
            <w:pPr>
              <w:tabs>
                <w:tab w:val="left" w:pos="0"/>
              </w:tabs>
              <w:rPr>
                <w:sz w:val="20"/>
              </w:rPr>
            </w:pPr>
            <w:r w:rsidRPr="00B34608">
              <w:rPr>
                <w:sz w:val="20"/>
              </w:rPr>
              <w:t> </w:t>
            </w:r>
          </w:p>
        </w:tc>
        <w:tc>
          <w:tcPr>
            <w:tcW w:w="1843" w:type="dxa"/>
            <w:tcBorders>
              <w:top w:val="nil"/>
              <w:left w:val="nil"/>
              <w:bottom w:val="single" w:sz="4" w:space="0" w:color="auto"/>
              <w:right w:val="single" w:sz="4" w:space="0" w:color="auto"/>
            </w:tcBorders>
            <w:shd w:val="clear" w:color="000000" w:fill="FFFFFF"/>
          </w:tcPr>
          <w:p w:rsidR="00D2569B" w:rsidRPr="00B34608" w:rsidRDefault="00D2569B" w:rsidP="009F20FD">
            <w:pPr>
              <w:tabs>
                <w:tab w:val="left" w:pos="0"/>
              </w:tabs>
              <w:rPr>
                <w:sz w:val="20"/>
              </w:rPr>
            </w:pPr>
          </w:p>
        </w:tc>
      </w:tr>
      <w:tr w:rsidR="00D2569B" w:rsidRPr="00B34608" w:rsidTr="00CD17A9">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9F20FD">
            <w:pPr>
              <w:tabs>
                <w:tab w:val="left" w:pos="0"/>
              </w:tabs>
              <w:jc w:val="center"/>
              <w:rPr>
                <w:sz w:val="20"/>
              </w:rPr>
            </w:pPr>
            <w:r w:rsidRPr="00B34608">
              <w:rPr>
                <w:sz w:val="20"/>
              </w:rPr>
              <w:t>2.</w:t>
            </w:r>
          </w:p>
        </w:tc>
        <w:tc>
          <w:tcPr>
            <w:tcW w:w="5387" w:type="dxa"/>
            <w:tcBorders>
              <w:top w:val="nil"/>
              <w:left w:val="nil"/>
              <w:bottom w:val="single" w:sz="4" w:space="0" w:color="auto"/>
              <w:right w:val="single" w:sz="4" w:space="0" w:color="auto"/>
            </w:tcBorders>
            <w:shd w:val="clear" w:color="000000" w:fill="FFFFFF"/>
            <w:vAlign w:val="bottom"/>
          </w:tcPr>
          <w:p w:rsidR="00D2569B" w:rsidRPr="00B34608" w:rsidRDefault="00D2569B" w:rsidP="009F20FD">
            <w:pPr>
              <w:tabs>
                <w:tab w:val="left" w:pos="0"/>
              </w:tabs>
              <w:rPr>
                <w:b/>
                <w:bCs/>
                <w:sz w:val="20"/>
              </w:rPr>
            </w:pPr>
            <w:r>
              <w:rPr>
                <w:b/>
                <w:bCs/>
                <w:sz w:val="20"/>
              </w:rPr>
              <w:t>Cash from the municipal budget</w:t>
            </w:r>
          </w:p>
        </w:tc>
        <w:tc>
          <w:tcPr>
            <w:tcW w:w="1559" w:type="dxa"/>
            <w:tcBorders>
              <w:top w:val="nil"/>
              <w:left w:val="nil"/>
              <w:bottom w:val="single" w:sz="4" w:space="0" w:color="auto"/>
              <w:right w:val="single" w:sz="4" w:space="0" w:color="auto"/>
            </w:tcBorders>
            <w:shd w:val="clear" w:color="000000" w:fill="FFFFFF"/>
            <w:vAlign w:val="bottom"/>
          </w:tcPr>
          <w:p w:rsidR="00D2569B" w:rsidRPr="00B34608" w:rsidRDefault="00D2569B" w:rsidP="009F20FD">
            <w:pPr>
              <w:tabs>
                <w:tab w:val="left" w:pos="0"/>
              </w:tabs>
              <w:rPr>
                <w:sz w:val="20"/>
              </w:rPr>
            </w:pPr>
            <w:r w:rsidRPr="00B34608">
              <w:rPr>
                <w:sz w:val="20"/>
              </w:rPr>
              <w:t> </w:t>
            </w:r>
          </w:p>
        </w:tc>
        <w:tc>
          <w:tcPr>
            <w:tcW w:w="1843" w:type="dxa"/>
            <w:tcBorders>
              <w:top w:val="nil"/>
              <w:left w:val="nil"/>
              <w:bottom w:val="single" w:sz="4" w:space="0" w:color="auto"/>
              <w:right w:val="single" w:sz="4" w:space="0" w:color="auto"/>
            </w:tcBorders>
            <w:shd w:val="clear" w:color="000000" w:fill="FFFFFF"/>
          </w:tcPr>
          <w:p w:rsidR="00D2569B" w:rsidRPr="00B34608" w:rsidRDefault="00D2569B" w:rsidP="009F20FD">
            <w:pPr>
              <w:tabs>
                <w:tab w:val="left" w:pos="0"/>
              </w:tabs>
              <w:rPr>
                <w:sz w:val="20"/>
              </w:rPr>
            </w:pPr>
          </w:p>
        </w:tc>
      </w:tr>
      <w:tr w:rsidR="00D2569B" w:rsidRPr="00B34608" w:rsidTr="00CD17A9">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9F20FD">
            <w:pPr>
              <w:tabs>
                <w:tab w:val="left" w:pos="0"/>
              </w:tabs>
              <w:jc w:val="center"/>
              <w:rPr>
                <w:sz w:val="20"/>
              </w:rPr>
            </w:pPr>
            <w:r w:rsidRPr="00B34608">
              <w:rPr>
                <w:sz w:val="20"/>
              </w:rPr>
              <w:t>3.</w:t>
            </w:r>
          </w:p>
        </w:tc>
        <w:tc>
          <w:tcPr>
            <w:tcW w:w="5387" w:type="dxa"/>
            <w:tcBorders>
              <w:top w:val="nil"/>
              <w:left w:val="nil"/>
              <w:bottom w:val="single" w:sz="4" w:space="0" w:color="auto"/>
              <w:right w:val="single" w:sz="4" w:space="0" w:color="auto"/>
            </w:tcBorders>
            <w:shd w:val="clear" w:color="000000" w:fill="FFFFFF"/>
            <w:vAlign w:val="bottom"/>
          </w:tcPr>
          <w:p w:rsidR="00D2569B" w:rsidRPr="00B34608" w:rsidRDefault="00D2569B" w:rsidP="009F20FD">
            <w:pPr>
              <w:tabs>
                <w:tab w:val="left" w:pos="0"/>
              </w:tabs>
              <w:rPr>
                <w:b/>
                <w:bCs/>
                <w:sz w:val="20"/>
              </w:rPr>
            </w:pPr>
            <w:r>
              <w:rPr>
                <w:b/>
                <w:bCs/>
                <w:sz w:val="20"/>
              </w:rPr>
              <w:t>Other cash and cash equivalents</w:t>
            </w:r>
          </w:p>
        </w:tc>
        <w:tc>
          <w:tcPr>
            <w:tcW w:w="1559" w:type="dxa"/>
            <w:tcBorders>
              <w:top w:val="nil"/>
              <w:left w:val="nil"/>
              <w:bottom w:val="single" w:sz="4" w:space="0" w:color="auto"/>
              <w:right w:val="single" w:sz="4" w:space="0" w:color="auto"/>
            </w:tcBorders>
            <w:shd w:val="clear" w:color="000000" w:fill="FFFFFF"/>
            <w:vAlign w:val="bottom"/>
          </w:tcPr>
          <w:p w:rsidR="00D2569B" w:rsidRPr="00B34608" w:rsidRDefault="00D2569B" w:rsidP="00705BA7">
            <w:pPr>
              <w:tabs>
                <w:tab w:val="left" w:pos="0"/>
              </w:tabs>
              <w:jc w:val="right"/>
              <w:rPr>
                <w:b/>
                <w:sz w:val="20"/>
              </w:rPr>
            </w:pPr>
            <w:r w:rsidRPr="00B34608">
              <w:rPr>
                <w:b/>
                <w:sz w:val="20"/>
              </w:rPr>
              <w:t>55</w:t>
            </w:r>
            <w:r>
              <w:rPr>
                <w:b/>
                <w:sz w:val="20"/>
              </w:rPr>
              <w:t>,</w:t>
            </w:r>
            <w:r w:rsidRPr="00B34608">
              <w:rPr>
                <w:b/>
                <w:sz w:val="20"/>
              </w:rPr>
              <w:t>066</w:t>
            </w:r>
            <w:r>
              <w:rPr>
                <w:b/>
                <w:sz w:val="20"/>
              </w:rPr>
              <w:t>,</w:t>
            </w:r>
            <w:r w:rsidRPr="00B34608">
              <w:rPr>
                <w:b/>
                <w:sz w:val="20"/>
              </w:rPr>
              <w:t>007</w:t>
            </w:r>
          </w:p>
        </w:tc>
        <w:tc>
          <w:tcPr>
            <w:tcW w:w="1843" w:type="dxa"/>
            <w:tcBorders>
              <w:top w:val="nil"/>
              <w:left w:val="nil"/>
              <w:bottom w:val="single" w:sz="4" w:space="0" w:color="auto"/>
              <w:right w:val="single" w:sz="4" w:space="0" w:color="auto"/>
            </w:tcBorders>
            <w:shd w:val="clear" w:color="000000" w:fill="FFFFFF"/>
          </w:tcPr>
          <w:p w:rsidR="00D2569B" w:rsidRPr="00B34608" w:rsidRDefault="00D2569B" w:rsidP="00705BA7">
            <w:pPr>
              <w:tabs>
                <w:tab w:val="left" w:pos="0"/>
              </w:tabs>
              <w:jc w:val="right"/>
              <w:rPr>
                <w:b/>
                <w:sz w:val="20"/>
              </w:rPr>
            </w:pPr>
            <w:r>
              <w:rPr>
                <w:b/>
                <w:sz w:val="20"/>
              </w:rPr>
              <w:t>85,</w:t>
            </w:r>
            <w:r w:rsidRPr="00B34608">
              <w:rPr>
                <w:b/>
                <w:sz w:val="20"/>
              </w:rPr>
              <w:t>736</w:t>
            </w:r>
            <w:r>
              <w:rPr>
                <w:b/>
                <w:sz w:val="20"/>
              </w:rPr>
              <w:t>,</w:t>
            </w:r>
            <w:r w:rsidRPr="00B34608">
              <w:rPr>
                <w:b/>
                <w:sz w:val="20"/>
              </w:rPr>
              <w:t>791</w:t>
            </w:r>
          </w:p>
        </w:tc>
      </w:tr>
      <w:tr w:rsidR="00D2569B" w:rsidRPr="00B34608" w:rsidTr="00CD17A9">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D2569B" w:rsidRPr="00B34608" w:rsidRDefault="00D2569B" w:rsidP="009F20FD">
            <w:pPr>
              <w:tabs>
                <w:tab w:val="left" w:pos="0"/>
              </w:tabs>
              <w:jc w:val="center"/>
              <w:rPr>
                <w:sz w:val="20"/>
              </w:rPr>
            </w:pPr>
            <w:r w:rsidRPr="00B34608">
              <w:rPr>
                <w:sz w:val="20"/>
              </w:rPr>
              <w:t>3.1.</w:t>
            </w:r>
          </w:p>
        </w:tc>
        <w:tc>
          <w:tcPr>
            <w:tcW w:w="5387"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9F20FD">
            <w:pPr>
              <w:tabs>
                <w:tab w:val="left" w:pos="0"/>
              </w:tabs>
              <w:rPr>
                <w:sz w:val="20"/>
              </w:rPr>
            </w:pPr>
            <w:r>
              <w:rPr>
                <w:sz w:val="20"/>
              </w:rPr>
              <w:t>Cash with banks</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705BA7">
            <w:pPr>
              <w:tabs>
                <w:tab w:val="left" w:pos="0"/>
              </w:tabs>
              <w:jc w:val="right"/>
              <w:rPr>
                <w:sz w:val="20"/>
              </w:rPr>
            </w:pPr>
            <w:r>
              <w:rPr>
                <w:sz w:val="20"/>
              </w:rPr>
              <w:t>55,066,</w:t>
            </w:r>
            <w:r w:rsidRPr="00B34608">
              <w:rPr>
                <w:sz w:val="20"/>
              </w:rPr>
              <w:t>007</w:t>
            </w:r>
          </w:p>
        </w:tc>
        <w:tc>
          <w:tcPr>
            <w:tcW w:w="1843"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705BA7">
            <w:pPr>
              <w:tabs>
                <w:tab w:val="left" w:pos="0"/>
              </w:tabs>
              <w:jc w:val="right"/>
              <w:rPr>
                <w:sz w:val="20"/>
              </w:rPr>
            </w:pPr>
            <w:r w:rsidRPr="00B34608">
              <w:rPr>
                <w:sz w:val="20"/>
              </w:rPr>
              <w:t>85</w:t>
            </w:r>
            <w:r>
              <w:rPr>
                <w:sz w:val="20"/>
              </w:rPr>
              <w:t>,</w:t>
            </w:r>
            <w:r w:rsidRPr="00B34608">
              <w:rPr>
                <w:sz w:val="20"/>
              </w:rPr>
              <w:t>736</w:t>
            </w:r>
            <w:r>
              <w:rPr>
                <w:sz w:val="20"/>
              </w:rPr>
              <w:t>,</w:t>
            </w:r>
            <w:r w:rsidRPr="00B34608">
              <w:rPr>
                <w:sz w:val="20"/>
              </w:rPr>
              <w:t>791</w:t>
            </w:r>
          </w:p>
        </w:tc>
      </w:tr>
      <w:tr w:rsidR="00D2569B" w:rsidRPr="00B34608" w:rsidTr="00CD17A9">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D2569B" w:rsidRPr="00B34608" w:rsidRDefault="00D2569B" w:rsidP="006004DF">
            <w:pPr>
              <w:tabs>
                <w:tab w:val="left" w:pos="0"/>
              </w:tabs>
              <w:jc w:val="center"/>
              <w:rPr>
                <w:sz w:val="20"/>
              </w:rPr>
            </w:pPr>
            <w:r w:rsidRPr="00B34608">
              <w:rPr>
                <w:sz w:val="20"/>
              </w:rPr>
              <w:t>3.2.</w:t>
            </w:r>
          </w:p>
        </w:tc>
        <w:tc>
          <w:tcPr>
            <w:tcW w:w="5387"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9F20FD">
            <w:pPr>
              <w:tabs>
                <w:tab w:val="left" w:pos="0"/>
              </w:tabs>
              <w:rPr>
                <w:sz w:val="20"/>
              </w:rPr>
            </w:pPr>
            <w:r>
              <w:rPr>
                <w:sz w:val="20"/>
              </w:rPr>
              <w:t>Deposits of up to 3 months</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705BA7">
            <w:pPr>
              <w:tabs>
                <w:tab w:val="left" w:pos="0"/>
              </w:tabs>
              <w:jc w:val="right"/>
              <w:rPr>
                <w:sz w:val="20"/>
              </w:rPr>
            </w:pPr>
          </w:p>
        </w:tc>
        <w:tc>
          <w:tcPr>
            <w:tcW w:w="1843"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705BA7">
            <w:pPr>
              <w:tabs>
                <w:tab w:val="left" w:pos="0"/>
              </w:tabs>
              <w:jc w:val="right"/>
              <w:rPr>
                <w:sz w:val="20"/>
              </w:rPr>
            </w:pPr>
          </w:p>
        </w:tc>
      </w:tr>
      <w:tr w:rsidR="00D2569B" w:rsidRPr="00B34608" w:rsidTr="00CD17A9">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D2569B" w:rsidRPr="00B34608" w:rsidRDefault="00D2569B" w:rsidP="009F20FD">
            <w:pPr>
              <w:tabs>
                <w:tab w:val="left" w:pos="0"/>
              </w:tabs>
              <w:jc w:val="center"/>
              <w:rPr>
                <w:sz w:val="20"/>
              </w:rPr>
            </w:pPr>
            <w:r w:rsidRPr="00B34608">
              <w:rPr>
                <w:sz w:val="20"/>
              </w:rPr>
              <w:t>3.3.</w:t>
            </w:r>
          </w:p>
        </w:tc>
        <w:tc>
          <w:tcPr>
            <w:tcW w:w="5387"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9F20FD">
            <w:pPr>
              <w:tabs>
                <w:tab w:val="left" w:pos="0"/>
              </w:tabs>
              <w:rPr>
                <w:sz w:val="20"/>
              </w:rPr>
            </w:pPr>
            <w:r>
              <w:rPr>
                <w:sz w:val="20"/>
              </w:rPr>
              <w:t>Other cash equivalents</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705BA7">
            <w:pPr>
              <w:tabs>
                <w:tab w:val="left" w:pos="0"/>
              </w:tabs>
              <w:jc w:val="right"/>
              <w:rPr>
                <w:sz w:val="20"/>
              </w:rPr>
            </w:pPr>
            <w:r w:rsidRPr="00B34608">
              <w:rPr>
                <w:sz w:val="20"/>
              </w:rPr>
              <w:t> </w:t>
            </w:r>
          </w:p>
        </w:tc>
        <w:tc>
          <w:tcPr>
            <w:tcW w:w="1843"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705BA7">
            <w:pPr>
              <w:tabs>
                <w:tab w:val="left" w:pos="0"/>
              </w:tabs>
              <w:jc w:val="right"/>
              <w:rPr>
                <w:sz w:val="20"/>
              </w:rPr>
            </w:pPr>
          </w:p>
        </w:tc>
      </w:tr>
      <w:tr w:rsidR="00D2569B" w:rsidRPr="00B34608" w:rsidTr="00CD17A9">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6E78FD">
            <w:pPr>
              <w:tabs>
                <w:tab w:val="left" w:pos="0"/>
              </w:tabs>
              <w:jc w:val="center"/>
              <w:rPr>
                <w:sz w:val="20"/>
              </w:rPr>
            </w:pPr>
            <w:r w:rsidRPr="00B34608">
              <w:rPr>
                <w:sz w:val="20"/>
              </w:rPr>
              <w:t>4.</w:t>
            </w:r>
          </w:p>
        </w:tc>
        <w:tc>
          <w:tcPr>
            <w:tcW w:w="5387" w:type="dxa"/>
            <w:tcBorders>
              <w:top w:val="nil"/>
              <w:left w:val="nil"/>
              <w:bottom w:val="single" w:sz="4" w:space="0" w:color="auto"/>
              <w:right w:val="single" w:sz="4" w:space="0" w:color="auto"/>
            </w:tcBorders>
            <w:shd w:val="clear" w:color="000000" w:fill="FFFFFF"/>
            <w:vAlign w:val="bottom"/>
          </w:tcPr>
          <w:p w:rsidR="00D2569B" w:rsidRPr="00B34608" w:rsidRDefault="00D2569B" w:rsidP="006E78FD">
            <w:pPr>
              <w:tabs>
                <w:tab w:val="left" w:pos="0"/>
              </w:tabs>
              <w:rPr>
                <w:b/>
                <w:bCs/>
                <w:sz w:val="20"/>
              </w:rPr>
            </w:pPr>
            <w:r>
              <w:rPr>
                <w:b/>
                <w:bCs/>
                <w:sz w:val="20"/>
              </w:rPr>
              <w:t>Total cash and cash equivalents</w:t>
            </w: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6E78FD">
            <w:pPr>
              <w:jc w:val="right"/>
              <w:rPr>
                <w:b/>
                <w:sz w:val="20"/>
              </w:rPr>
            </w:pPr>
            <w:r w:rsidRPr="00B34608">
              <w:rPr>
                <w:b/>
                <w:sz w:val="20"/>
              </w:rPr>
              <w:t>55</w:t>
            </w:r>
            <w:r>
              <w:rPr>
                <w:b/>
                <w:sz w:val="20"/>
              </w:rPr>
              <w:t>,</w:t>
            </w:r>
            <w:r w:rsidRPr="00B34608">
              <w:rPr>
                <w:b/>
                <w:sz w:val="20"/>
              </w:rPr>
              <w:t>066</w:t>
            </w:r>
            <w:r>
              <w:rPr>
                <w:b/>
                <w:sz w:val="20"/>
              </w:rPr>
              <w:t>,</w:t>
            </w:r>
            <w:r w:rsidRPr="00B34608">
              <w:rPr>
                <w:b/>
                <w:sz w:val="20"/>
              </w:rPr>
              <w:t>007</w:t>
            </w:r>
          </w:p>
        </w:tc>
        <w:tc>
          <w:tcPr>
            <w:tcW w:w="1843" w:type="dxa"/>
            <w:tcBorders>
              <w:top w:val="nil"/>
              <w:left w:val="nil"/>
              <w:bottom w:val="single" w:sz="4" w:space="0" w:color="auto"/>
              <w:right w:val="single" w:sz="4" w:space="0" w:color="auto"/>
            </w:tcBorders>
            <w:shd w:val="clear" w:color="000000" w:fill="FFFFFF"/>
          </w:tcPr>
          <w:p w:rsidR="00D2569B" w:rsidRDefault="00D2569B" w:rsidP="00653400">
            <w:pPr>
              <w:jc w:val="right"/>
            </w:pPr>
            <w:r w:rsidRPr="00345B71">
              <w:rPr>
                <w:b/>
                <w:sz w:val="20"/>
              </w:rPr>
              <w:t>85,736,791</w:t>
            </w:r>
          </w:p>
        </w:tc>
      </w:tr>
      <w:tr w:rsidR="00D2569B" w:rsidRPr="00B34608" w:rsidTr="00CD17A9">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6E78FD">
            <w:pPr>
              <w:tabs>
                <w:tab w:val="left" w:pos="0"/>
              </w:tabs>
              <w:jc w:val="center"/>
              <w:rPr>
                <w:sz w:val="20"/>
              </w:rPr>
            </w:pPr>
            <w:r w:rsidRPr="00B34608">
              <w:rPr>
                <w:sz w:val="20"/>
              </w:rPr>
              <w:t>5.</w:t>
            </w:r>
          </w:p>
        </w:tc>
        <w:tc>
          <w:tcPr>
            <w:tcW w:w="5387" w:type="dxa"/>
            <w:tcBorders>
              <w:top w:val="nil"/>
              <w:left w:val="nil"/>
              <w:bottom w:val="single" w:sz="4" w:space="0" w:color="auto"/>
              <w:right w:val="single" w:sz="4" w:space="0" w:color="auto"/>
            </w:tcBorders>
            <w:shd w:val="clear" w:color="000000" w:fill="FFFFFF"/>
            <w:vAlign w:val="bottom"/>
          </w:tcPr>
          <w:p w:rsidR="00D2569B" w:rsidRPr="00B34608" w:rsidRDefault="00D2569B" w:rsidP="006E78FD">
            <w:pPr>
              <w:tabs>
                <w:tab w:val="left" w:pos="0"/>
              </w:tabs>
              <w:rPr>
                <w:b/>
                <w:bCs/>
                <w:sz w:val="20"/>
              </w:rPr>
            </w:pPr>
            <w:r>
              <w:rPr>
                <w:b/>
                <w:bCs/>
                <w:sz w:val="20"/>
              </w:rPr>
              <w:t>Of which proceeds of resource funds</w:t>
            </w: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6E78FD">
            <w:pPr>
              <w:jc w:val="right"/>
              <w:rPr>
                <w:b/>
                <w:sz w:val="20"/>
              </w:rPr>
            </w:pPr>
            <w:r w:rsidRPr="00B34608">
              <w:rPr>
                <w:b/>
                <w:sz w:val="20"/>
              </w:rPr>
              <w:t>55</w:t>
            </w:r>
            <w:r>
              <w:rPr>
                <w:b/>
                <w:sz w:val="20"/>
              </w:rPr>
              <w:t>,</w:t>
            </w:r>
            <w:r w:rsidRPr="00B34608">
              <w:rPr>
                <w:b/>
                <w:sz w:val="20"/>
              </w:rPr>
              <w:t>066</w:t>
            </w:r>
            <w:r>
              <w:rPr>
                <w:b/>
                <w:sz w:val="20"/>
              </w:rPr>
              <w:t>,</w:t>
            </w:r>
            <w:r w:rsidRPr="00B34608">
              <w:rPr>
                <w:b/>
                <w:sz w:val="20"/>
              </w:rPr>
              <w:t>007</w:t>
            </w:r>
          </w:p>
        </w:tc>
        <w:tc>
          <w:tcPr>
            <w:tcW w:w="1843" w:type="dxa"/>
            <w:tcBorders>
              <w:top w:val="nil"/>
              <w:left w:val="nil"/>
              <w:bottom w:val="single" w:sz="4" w:space="0" w:color="auto"/>
              <w:right w:val="single" w:sz="4" w:space="0" w:color="auto"/>
            </w:tcBorders>
            <w:shd w:val="clear" w:color="000000" w:fill="FFFFFF"/>
          </w:tcPr>
          <w:p w:rsidR="00D2569B" w:rsidRDefault="00D2569B" w:rsidP="00653400">
            <w:pPr>
              <w:jc w:val="right"/>
            </w:pPr>
            <w:r w:rsidRPr="00345B71">
              <w:rPr>
                <w:b/>
                <w:sz w:val="20"/>
              </w:rPr>
              <w:t>85,736,791</w:t>
            </w:r>
          </w:p>
        </w:tc>
      </w:tr>
    </w:tbl>
    <w:p w:rsidR="00D2569B" w:rsidRPr="00B34608" w:rsidRDefault="00D2569B" w:rsidP="00DF40D9">
      <w:pPr>
        <w:spacing w:before="400" w:line="360" w:lineRule="auto"/>
        <w:rPr>
          <w:b/>
          <w:sz w:val="24"/>
          <w:szCs w:val="24"/>
        </w:rPr>
      </w:pPr>
      <w:r>
        <w:rPr>
          <w:b/>
          <w:sz w:val="24"/>
          <w:szCs w:val="24"/>
        </w:rPr>
        <w:t xml:space="preserve">Note </w:t>
      </w:r>
      <w:r w:rsidRPr="00B34608">
        <w:rPr>
          <w:b/>
          <w:sz w:val="24"/>
          <w:szCs w:val="24"/>
        </w:rPr>
        <w:t xml:space="preserve">5. </w:t>
      </w:r>
      <w:r>
        <w:rPr>
          <w:b/>
          <w:sz w:val="24"/>
          <w:szCs w:val="24"/>
        </w:rPr>
        <w:t>Long-term financial liabilities</w:t>
      </w:r>
    </w:p>
    <w:p w:rsidR="00D2569B" w:rsidRPr="00B34608" w:rsidRDefault="00D2569B" w:rsidP="00CD17A9">
      <w:pPr>
        <w:ind w:left="-142" w:firstLine="142"/>
        <w:jc w:val="both"/>
        <w:rPr>
          <w:szCs w:val="22"/>
        </w:rPr>
      </w:pPr>
      <w:r w:rsidRPr="00B34608">
        <w:rPr>
          <w:szCs w:val="22"/>
        </w:rPr>
        <w:t xml:space="preserve">        </w:t>
      </w:r>
      <w:r>
        <w:rPr>
          <w:szCs w:val="22"/>
        </w:rPr>
        <w:t xml:space="preserve">During </w:t>
      </w:r>
      <w:r w:rsidRPr="00B34608">
        <w:rPr>
          <w:szCs w:val="22"/>
        </w:rPr>
        <w:t>2017</w:t>
      </w:r>
      <w:r>
        <w:rPr>
          <w:szCs w:val="22"/>
        </w:rPr>
        <w:t>, the loan taken from the Ministry of Finance of the Republic of Lithuania</w:t>
      </w:r>
      <w:r w:rsidRPr="00B34608">
        <w:rPr>
          <w:szCs w:val="22"/>
        </w:rPr>
        <w:t xml:space="preserve"> </w:t>
      </w:r>
      <w:r>
        <w:rPr>
          <w:szCs w:val="22"/>
        </w:rPr>
        <w:t>was repaid in full</w:t>
      </w:r>
      <w:r w:rsidRPr="00B34608">
        <w:rPr>
          <w:szCs w:val="22"/>
        </w:rPr>
        <w:t xml:space="preserve">. </w:t>
      </w:r>
      <w:r>
        <w:rPr>
          <w:szCs w:val="22"/>
        </w:rPr>
        <w:t>As at 31 December 2016, the loan balance was EUR</w:t>
      </w:r>
      <w:r w:rsidRPr="00B34608">
        <w:rPr>
          <w:szCs w:val="22"/>
        </w:rPr>
        <w:t xml:space="preserve"> 62</w:t>
      </w:r>
      <w:r>
        <w:rPr>
          <w:szCs w:val="22"/>
        </w:rPr>
        <w:t>,</w:t>
      </w:r>
      <w:r w:rsidRPr="00B34608">
        <w:rPr>
          <w:szCs w:val="22"/>
        </w:rPr>
        <w:t>264</w:t>
      </w:r>
      <w:r>
        <w:rPr>
          <w:szCs w:val="22"/>
        </w:rPr>
        <w:t>,</w:t>
      </w:r>
      <w:r w:rsidRPr="00B34608">
        <w:rPr>
          <w:szCs w:val="22"/>
        </w:rPr>
        <w:t xml:space="preserve">594. </w:t>
      </w:r>
    </w:p>
    <w:p w:rsidR="00D2569B" w:rsidRPr="00B34608" w:rsidRDefault="00D2569B" w:rsidP="00CD17A9">
      <w:pPr>
        <w:ind w:left="-142" w:firstLine="142"/>
        <w:jc w:val="both"/>
        <w:rPr>
          <w:szCs w:val="22"/>
        </w:rPr>
      </w:pPr>
      <w:r w:rsidRPr="00B34608">
        <w:rPr>
          <w:szCs w:val="22"/>
        </w:rPr>
        <w:t xml:space="preserve">        </w:t>
      </w:r>
      <w:r>
        <w:rPr>
          <w:szCs w:val="22"/>
        </w:rPr>
        <w:t xml:space="preserve">Interest was also paid according to this loan agreement and accounted for </w:t>
      </w:r>
      <w:r w:rsidRPr="00B34608">
        <w:rPr>
          <w:szCs w:val="22"/>
        </w:rPr>
        <w:t>2</w:t>
      </w:r>
      <w:r>
        <w:rPr>
          <w:szCs w:val="22"/>
        </w:rPr>
        <w:t>.</w:t>
      </w:r>
      <w:r w:rsidRPr="00B34608">
        <w:rPr>
          <w:szCs w:val="22"/>
        </w:rPr>
        <w:t>801</w:t>
      </w:r>
      <w:r>
        <w:rPr>
          <w:szCs w:val="22"/>
        </w:rPr>
        <w:t>% of annual interest</w:t>
      </w:r>
      <w:r w:rsidRPr="00B34608">
        <w:rPr>
          <w:szCs w:val="22"/>
        </w:rPr>
        <w:t xml:space="preserve">. </w:t>
      </w:r>
      <w:r>
        <w:rPr>
          <w:szCs w:val="22"/>
        </w:rPr>
        <w:t xml:space="preserve">In </w:t>
      </w:r>
      <w:r w:rsidRPr="00B34608">
        <w:rPr>
          <w:szCs w:val="22"/>
        </w:rPr>
        <w:t>2017</w:t>
      </w:r>
      <w:r>
        <w:rPr>
          <w:szCs w:val="22"/>
        </w:rPr>
        <w:t>, interest was paid in the amount of EUR 1,1</w:t>
      </w:r>
      <w:r w:rsidRPr="00B34608">
        <w:rPr>
          <w:szCs w:val="22"/>
        </w:rPr>
        <w:t>28</w:t>
      </w:r>
      <w:r>
        <w:rPr>
          <w:szCs w:val="22"/>
        </w:rPr>
        <w:t>,</w:t>
      </w:r>
      <w:r w:rsidRPr="00B34608">
        <w:rPr>
          <w:szCs w:val="22"/>
        </w:rPr>
        <w:t>236 (</w:t>
      </w:r>
      <w:r>
        <w:rPr>
          <w:szCs w:val="22"/>
        </w:rPr>
        <w:t xml:space="preserve">interest amount accrued to expenses was EUR </w:t>
      </w:r>
      <w:r w:rsidRPr="00B34608">
        <w:rPr>
          <w:szCs w:val="22"/>
        </w:rPr>
        <w:t>837</w:t>
      </w:r>
      <w:r>
        <w:rPr>
          <w:szCs w:val="22"/>
        </w:rPr>
        <w:t>,</w:t>
      </w:r>
      <w:r w:rsidRPr="00B34608">
        <w:rPr>
          <w:szCs w:val="22"/>
        </w:rPr>
        <w:t>564).</w:t>
      </w:r>
    </w:p>
    <w:p w:rsidR="00D2569B" w:rsidRPr="00B34608" w:rsidRDefault="00D2569B" w:rsidP="006A142F">
      <w:pPr>
        <w:jc w:val="both"/>
        <w:rPr>
          <w:szCs w:val="22"/>
        </w:rPr>
      </w:pPr>
      <w:r w:rsidRPr="00B34608">
        <w:rPr>
          <w:szCs w:val="22"/>
        </w:rPr>
        <w:t xml:space="preserve">         </w:t>
      </w:r>
      <w:r>
        <w:rPr>
          <w:szCs w:val="22"/>
        </w:rPr>
        <w:t>As at</w:t>
      </w:r>
      <w:r w:rsidRPr="00B34608">
        <w:rPr>
          <w:szCs w:val="22"/>
        </w:rPr>
        <w:t xml:space="preserve"> </w:t>
      </w:r>
      <w:r>
        <w:rPr>
          <w:szCs w:val="22"/>
        </w:rPr>
        <w:t xml:space="preserve">31 December </w:t>
      </w:r>
      <w:r w:rsidRPr="00B34608">
        <w:rPr>
          <w:szCs w:val="22"/>
        </w:rPr>
        <w:t>2017</w:t>
      </w:r>
      <w:r>
        <w:rPr>
          <w:szCs w:val="22"/>
        </w:rPr>
        <w:t xml:space="preserve">, the </w:t>
      </w:r>
      <w:r w:rsidRPr="00B34608">
        <w:rPr>
          <w:szCs w:val="22"/>
        </w:rPr>
        <w:t>F</w:t>
      </w:r>
      <w:r>
        <w:rPr>
          <w:szCs w:val="22"/>
        </w:rPr>
        <w:t>und had no long-term debt liabilities</w:t>
      </w:r>
      <w:r w:rsidRPr="00B34608">
        <w:rPr>
          <w:szCs w:val="22"/>
        </w:rPr>
        <w:t>.</w:t>
      </w:r>
    </w:p>
    <w:p w:rsidR="00D2569B" w:rsidRPr="00B34608" w:rsidRDefault="00D2569B" w:rsidP="00DF40D9">
      <w:pPr>
        <w:spacing w:before="400" w:line="360" w:lineRule="auto"/>
        <w:rPr>
          <w:b/>
          <w:sz w:val="24"/>
          <w:szCs w:val="24"/>
        </w:rPr>
      </w:pPr>
      <w:r>
        <w:rPr>
          <w:b/>
          <w:sz w:val="24"/>
          <w:szCs w:val="24"/>
        </w:rPr>
        <w:t xml:space="preserve">Note </w:t>
      </w:r>
      <w:r w:rsidRPr="00B34608">
        <w:rPr>
          <w:b/>
          <w:sz w:val="24"/>
          <w:szCs w:val="24"/>
        </w:rPr>
        <w:t xml:space="preserve">6. </w:t>
      </w:r>
      <w:r>
        <w:rPr>
          <w:b/>
          <w:sz w:val="24"/>
          <w:szCs w:val="24"/>
        </w:rPr>
        <w:t>Short-term liabilities</w:t>
      </w:r>
    </w:p>
    <w:p w:rsidR="00D2569B" w:rsidRPr="00B34608" w:rsidRDefault="00D2569B" w:rsidP="00BA5A6C">
      <w:pPr>
        <w:jc w:val="both"/>
        <w:rPr>
          <w:szCs w:val="22"/>
        </w:rPr>
      </w:pPr>
      <w:r w:rsidRPr="00B34608">
        <w:rPr>
          <w:szCs w:val="22"/>
        </w:rPr>
        <w:t xml:space="preserve">           </w:t>
      </w:r>
      <w:r>
        <w:rPr>
          <w:szCs w:val="22"/>
        </w:rPr>
        <w:t>At the end of the reporting period, short-term</w:t>
      </w:r>
      <w:r w:rsidRPr="00B34608">
        <w:rPr>
          <w:szCs w:val="22"/>
        </w:rPr>
        <w:t xml:space="preserve"> </w:t>
      </w:r>
      <w:r>
        <w:rPr>
          <w:szCs w:val="22"/>
        </w:rPr>
        <w:t>liabilities of the Fund</w:t>
      </w:r>
      <w:r w:rsidRPr="00B34608">
        <w:rPr>
          <w:szCs w:val="22"/>
        </w:rPr>
        <w:t xml:space="preserve"> t</w:t>
      </w:r>
      <w:r>
        <w:rPr>
          <w:szCs w:val="22"/>
        </w:rPr>
        <w:t>otalled EUR</w:t>
      </w:r>
      <w:r w:rsidRPr="00B34608">
        <w:rPr>
          <w:szCs w:val="22"/>
        </w:rPr>
        <w:t xml:space="preserve"> 8</w:t>
      </w:r>
      <w:r>
        <w:rPr>
          <w:szCs w:val="22"/>
        </w:rPr>
        <w:t>,</w:t>
      </w:r>
      <w:r w:rsidRPr="00B34608">
        <w:rPr>
          <w:szCs w:val="22"/>
        </w:rPr>
        <w:t>362</w:t>
      </w:r>
      <w:r>
        <w:rPr>
          <w:szCs w:val="22"/>
        </w:rPr>
        <w:t>,</w:t>
      </w:r>
      <w:r w:rsidRPr="00B34608">
        <w:rPr>
          <w:szCs w:val="22"/>
        </w:rPr>
        <w:t>965</w:t>
      </w:r>
      <w:r>
        <w:rPr>
          <w:szCs w:val="22"/>
        </w:rPr>
        <w:t>, comprising</w:t>
      </w:r>
      <w:r w:rsidRPr="00B34608">
        <w:rPr>
          <w:szCs w:val="22"/>
        </w:rPr>
        <w:t>:</w:t>
      </w:r>
    </w:p>
    <w:p w:rsidR="00D2569B" w:rsidRPr="00B34608" w:rsidRDefault="00D2569B" w:rsidP="00055268">
      <w:pPr>
        <w:ind w:left="-142" w:firstLine="709"/>
        <w:jc w:val="both"/>
        <w:rPr>
          <w:szCs w:val="22"/>
        </w:rPr>
      </w:pPr>
      <w:r w:rsidRPr="00B34608">
        <w:rPr>
          <w:szCs w:val="22"/>
        </w:rPr>
        <w:t xml:space="preserve">- </w:t>
      </w:r>
      <w:r>
        <w:rPr>
          <w:szCs w:val="22"/>
        </w:rPr>
        <w:t>EUR 8,</w:t>
      </w:r>
      <w:r w:rsidRPr="00B34608">
        <w:rPr>
          <w:szCs w:val="22"/>
        </w:rPr>
        <w:t>338</w:t>
      </w:r>
      <w:r>
        <w:rPr>
          <w:szCs w:val="22"/>
        </w:rPr>
        <w:t>,</w:t>
      </w:r>
      <w:r w:rsidRPr="00B34608">
        <w:rPr>
          <w:szCs w:val="22"/>
        </w:rPr>
        <w:t xml:space="preserve">141 </w:t>
      </w:r>
      <w:r>
        <w:rPr>
          <w:szCs w:val="22"/>
        </w:rPr>
        <w:t>of accumulated payable insurance compensations not collected by depositors and held in accounts with commercial banks</w:t>
      </w:r>
      <w:r w:rsidRPr="00B34608">
        <w:rPr>
          <w:szCs w:val="22"/>
        </w:rPr>
        <w:t xml:space="preserve"> (</w:t>
      </w:r>
      <w:r>
        <w:rPr>
          <w:szCs w:val="22"/>
        </w:rPr>
        <w:t>payment agents</w:t>
      </w:r>
      <w:r w:rsidRPr="00B34608">
        <w:rPr>
          <w:szCs w:val="22"/>
        </w:rPr>
        <w:t>);</w:t>
      </w:r>
    </w:p>
    <w:p w:rsidR="00D2569B" w:rsidRPr="00B34608" w:rsidRDefault="00D2569B" w:rsidP="00055268">
      <w:pPr>
        <w:ind w:left="-142" w:firstLine="709"/>
        <w:jc w:val="both"/>
        <w:rPr>
          <w:szCs w:val="22"/>
        </w:rPr>
      </w:pPr>
      <w:r w:rsidRPr="00B34608">
        <w:rPr>
          <w:szCs w:val="22"/>
        </w:rPr>
        <w:t xml:space="preserve">- </w:t>
      </w:r>
      <w:r>
        <w:rPr>
          <w:szCs w:val="22"/>
        </w:rPr>
        <w:t>EUR 6,</w:t>
      </w:r>
      <w:r w:rsidRPr="00B34608">
        <w:rPr>
          <w:szCs w:val="22"/>
        </w:rPr>
        <w:t xml:space="preserve">333 </w:t>
      </w:r>
      <w:r>
        <w:rPr>
          <w:szCs w:val="22"/>
        </w:rPr>
        <w:t>of payables of accrued procedural interest</w:t>
      </w:r>
      <w:r w:rsidRPr="00B34608">
        <w:rPr>
          <w:szCs w:val="22"/>
        </w:rPr>
        <w:t>;</w:t>
      </w:r>
    </w:p>
    <w:p w:rsidR="00D2569B" w:rsidRPr="00B34608" w:rsidRDefault="00D2569B" w:rsidP="00055268">
      <w:pPr>
        <w:ind w:left="-142" w:firstLine="709"/>
        <w:jc w:val="both"/>
        <w:rPr>
          <w:szCs w:val="22"/>
        </w:rPr>
      </w:pPr>
      <w:r w:rsidRPr="00B34608">
        <w:rPr>
          <w:szCs w:val="22"/>
        </w:rPr>
        <w:t>-</w:t>
      </w:r>
      <w:r>
        <w:rPr>
          <w:szCs w:val="22"/>
        </w:rPr>
        <w:t xml:space="preserve"> EUR </w:t>
      </w:r>
      <w:r w:rsidRPr="00B34608">
        <w:rPr>
          <w:szCs w:val="22"/>
        </w:rPr>
        <w:t>12</w:t>
      </w:r>
      <w:r>
        <w:rPr>
          <w:szCs w:val="22"/>
        </w:rPr>
        <w:t>,</w:t>
      </w:r>
      <w:r w:rsidRPr="00B34608">
        <w:rPr>
          <w:szCs w:val="22"/>
        </w:rPr>
        <w:t>779</w:t>
      </w:r>
      <w:r>
        <w:rPr>
          <w:szCs w:val="22"/>
        </w:rPr>
        <w:t xml:space="preserve"> of prepayments</w:t>
      </w:r>
      <w:r w:rsidRPr="00B34608">
        <w:rPr>
          <w:szCs w:val="22"/>
        </w:rPr>
        <w:t xml:space="preserve"> </w:t>
      </w:r>
      <w:r>
        <w:rPr>
          <w:szCs w:val="22"/>
        </w:rPr>
        <w:t>–</w:t>
      </w:r>
      <w:r w:rsidRPr="00B34608">
        <w:rPr>
          <w:szCs w:val="22"/>
        </w:rPr>
        <w:t xml:space="preserve"> </w:t>
      </w:r>
      <w:r>
        <w:rPr>
          <w:szCs w:val="22"/>
        </w:rPr>
        <w:t>overpaid insurance contributions from credit institutions (credit unions</w:t>
      </w:r>
      <w:r w:rsidRPr="00B34608">
        <w:rPr>
          <w:szCs w:val="22"/>
        </w:rPr>
        <w:t>);</w:t>
      </w:r>
    </w:p>
    <w:p w:rsidR="00D2569B" w:rsidRPr="00B34608" w:rsidRDefault="00D2569B" w:rsidP="00055268">
      <w:pPr>
        <w:ind w:left="-142" w:firstLine="709"/>
        <w:jc w:val="both"/>
        <w:rPr>
          <w:szCs w:val="22"/>
        </w:rPr>
      </w:pPr>
      <w:r w:rsidRPr="00B34608">
        <w:rPr>
          <w:szCs w:val="22"/>
        </w:rPr>
        <w:t xml:space="preserve">- </w:t>
      </w:r>
      <w:r>
        <w:rPr>
          <w:szCs w:val="22"/>
        </w:rPr>
        <w:t>EUR 5,</w:t>
      </w:r>
      <w:r w:rsidRPr="00B34608">
        <w:rPr>
          <w:szCs w:val="22"/>
        </w:rPr>
        <w:t xml:space="preserve">712 </w:t>
      </w:r>
      <w:r>
        <w:rPr>
          <w:szCs w:val="22"/>
        </w:rPr>
        <w:t>of payables to the Company as the administrating entity</w:t>
      </w:r>
      <w:r w:rsidRPr="00B34608">
        <w:rPr>
          <w:szCs w:val="22"/>
        </w:rPr>
        <w:t>.</w:t>
      </w:r>
    </w:p>
    <w:p w:rsidR="00D2569B" w:rsidRPr="00B34608" w:rsidRDefault="00D2569B" w:rsidP="005A64C2">
      <w:pPr>
        <w:pStyle w:val="Antrat1"/>
        <w:tabs>
          <w:tab w:val="left" w:pos="0"/>
        </w:tabs>
        <w:spacing w:line="240" w:lineRule="auto"/>
        <w:rPr>
          <w:b w:val="0"/>
          <w:i/>
          <w:sz w:val="22"/>
          <w:szCs w:val="22"/>
        </w:rPr>
      </w:pPr>
      <w:bookmarkStart w:id="32" w:name="_Toc441582360"/>
      <w:r>
        <w:rPr>
          <w:b w:val="0"/>
          <w:i/>
          <w:sz w:val="22"/>
          <w:szCs w:val="22"/>
        </w:rPr>
        <w:lastRenderedPageBreak/>
        <w:t xml:space="preserve">Table </w:t>
      </w:r>
      <w:r w:rsidRPr="00B34608">
        <w:rPr>
          <w:b w:val="0"/>
          <w:i/>
          <w:sz w:val="22"/>
          <w:szCs w:val="22"/>
        </w:rPr>
        <w:t>5. Informa</w:t>
      </w:r>
      <w:r>
        <w:rPr>
          <w:b w:val="0"/>
          <w:i/>
          <w:sz w:val="22"/>
          <w:szCs w:val="22"/>
        </w:rPr>
        <w:t>tion on certain short-term payables</w:t>
      </w:r>
      <w:bookmarkEnd w:id="32"/>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
        <w:gridCol w:w="4019"/>
        <w:gridCol w:w="2126"/>
        <w:gridCol w:w="2552"/>
      </w:tblGrid>
      <w:tr w:rsidR="00D2569B" w:rsidRPr="00B34608" w:rsidTr="00CD17A9">
        <w:trPr>
          <w:trHeight w:val="616"/>
        </w:trPr>
        <w:tc>
          <w:tcPr>
            <w:tcW w:w="659" w:type="dxa"/>
            <w:vAlign w:val="center"/>
          </w:tcPr>
          <w:p w:rsidR="00D2569B" w:rsidRPr="00B34608" w:rsidRDefault="00D2569B" w:rsidP="005079E8">
            <w:pPr>
              <w:jc w:val="center"/>
              <w:rPr>
                <w:b/>
                <w:bCs/>
                <w:sz w:val="20"/>
              </w:rPr>
            </w:pPr>
            <w:r>
              <w:rPr>
                <w:b/>
                <w:bCs/>
                <w:sz w:val="20"/>
              </w:rPr>
              <w:t>Seq. No</w:t>
            </w:r>
          </w:p>
        </w:tc>
        <w:tc>
          <w:tcPr>
            <w:tcW w:w="4019" w:type="dxa"/>
            <w:vAlign w:val="center"/>
          </w:tcPr>
          <w:p w:rsidR="00D2569B" w:rsidRPr="00B34608" w:rsidRDefault="00D2569B" w:rsidP="006E3E89">
            <w:pPr>
              <w:tabs>
                <w:tab w:val="left" w:pos="0"/>
              </w:tabs>
              <w:jc w:val="center"/>
              <w:rPr>
                <w:b/>
                <w:bCs/>
                <w:sz w:val="20"/>
              </w:rPr>
            </w:pPr>
            <w:r>
              <w:rPr>
                <w:b/>
                <w:bCs/>
                <w:sz w:val="20"/>
              </w:rPr>
              <w:t>Item</w:t>
            </w:r>
          </w:p>
        </w:tc>
        <w:tc>
          <w:tcPr>
            <w:tcW w:w="2126" w:type="dxa"/>
            <w:vAlign w:val="center"/>
          </w:tcPr>
          <w:p w:rsidR="00D2569B" w:rsidRPr="00B34608" w:rsidRDefault="00D2569B" w:rsidP="006E3E89">
            <w:pPr>
              <w:tabs>
                <w:tab w:val="left" w:pos="0"/>
              </w:tabs>
              <w:jc w:val="center"/>
              <w:rPr>
                <w:b/>
                <w:bCs/>
                <w:sz w:val="20"/>
              </w:rPr>
            </w:pPr>
            <w:r>
              <w:rPr>
                <w:b/>
                <w:bCs/>
                <w:sz w:val="20"/>
              </w:rPr>
              <w:t xml:space="preserve">31 12 </w:t>
            </w:r>
            <w:r w:rsidRPr="00B34608">
              <w:rPr>
                <w:b/>
                <w:bCs/>
                <w:sz w:val="20"/>
              </w:rPr>
              <w:t>2017</w:t>
            </w:r>
          </w:p>
        </w:tc>
        <w:tc>
          <w:tcPr>
            <w:tcW w:w="2552" w:type="dxa"/>
            <w:vAlign w:val="center"/>
          </w:tcPr>
          <w:p w:rsidR="00D2569B" w:rsidRPr="00B34608" w:rsidRDefault="00D2569B" w:rsidP="006E3E89">
            <w:pPr>
              <w:tabs>
                <w:tab w:val="left" w:pos="0"/>
              </w:tabs>
              <w:jc w:val="center"/>
              <w:rPr>
                <w:b/>
                <w:bCs/>
                <w:sz w:val="20"/>
              </w:rPr>
            </w:pPr>
            <w:r>
              <w:rPr>
                <w:b/>
                <w:bCs/>
                <w:sz w:val="20"/>
              </w:rPr>
              <w:t xml:space="preserve">31 12 </w:t>
            </w:r>
            <w:r w:rsidRPr="00B34608">
              <w:rPr>
                <w:b/>
                <w:bCs/>
                <w:sz w:val="20"/>
              </w:rPr>
              <w:t>201</w:t>
            </w:r>
            <w:r>
              <w:rPr>
                <w:b/>
                <w:bCs/>
                <w:sz w:val="20"/>
              </w:rPr>
              <w:t>6</w:t>
            </w:r>
          </w:p>
        </w:tc>
      </w:tr>
      <w:tr w:rsidR="00D2569B" w:rsidRPr="00B34608" w:rsidTr="00CD17A9">
        <w:trPr>
          <w:trHeight w:val="178"/>
        </w:trPr>
        <w:tc>
          <w:tcPr>
            <w:tcW w:w="659" w:type="dxa"/>
            <w:vAlign w:val="center"/>
          </w:tcPr>
          <w:p w:rsidR="00D2569B" w:rsidRPr="00B34608" w:rsidRDefault="00D2569B" w:rsidP="005079E8">
            <w:pPr>
              <w:jc w:val="center"/>
              <w:rPr>
                <w:bCs/>
                <w:sz w:val="20"/>
              </w:rPr>
            </w:pPr>
            <w:r w:rsidRPr="00B34608">
              <w:rPr>
                <w:bCs/>
                <w:sz w:val="20"/>
              </w:rPr>
              <w:t>1</w:t>
            </w:r>
          </w:p>
        </w:tc>
        <w:tc>
          <w:tcPr>
            <w:tcW w:w="4019" w:type="dxa"/>
            <w:vAlign w:val="center"/>
          </w:tcPr>
          <w:p w:rsidR="00D2569B" w:rsidRPr="00B34608" w:rsidRDefault="00D2569B" w:rsidP="005079E8">
            <w:pPr>
              <w:jc w:val="center"/>
              <w:rPr>
                <w:bCs/>
                <w:sz w:val="20"/>
              </w:rPr>
            </w:pPr>
            <w:r w:rsidRPr="00B34608">
              <w:rPr>
                <w:bCs/>
                <w:sz w:val="20"/>
              </w:rPr>
              <w:t>2</w:t>
            </w:r>
          </w:p>
        </w:tc>
        <w:tc>
          <w:tcPr>
            <w:tcW w:w="2126" w:type="dxa"/>
            <w:vAlign w:val="center"/>
          </w:tcPr>
          <w:p w:rsidR="00D2569B" w:rsidRPr="00B34608" w:rsidRDefault="00D2569B" w:rsidP="00BC5D5C">
            <w:pPr>
              <w:tabs>
                <w:tab w:val="left" w:pos="0"/>
              </w:tabs>
              <w:jc w:val="center"/>
              <w:rPr>
                <w:bCs/>
                <w:sz w:val="20"/>
              </w:rPr>
            </w:pPr>
            <w:r w:rsidRPr="00B34608">
              <w:rPr>
                <w:bCs/>
                <w:sz w:val="20"/>
              </w:rPr>
              <w:t>3</w:t>
            </w:r>
          </w:p>
        </w:tc>
        <w:tc>
          <w:tcPr>
            <w:tcW w:w="2552" w:type="dxa"/>
            <w:vAlign w:val="center"/>
          </w:tcPr>
          <w:p w:rsidR="00D2569B" w:rsidRPr="00B34608" w:rsidRDefault="00D2569B" w:rsidP="00BC5D5C">
            <w:pPr>
              <w:tabs>
                <w:tab w:val="left" w:pos="0"/>
              </w:tabs>
              <w:jc w:val="center"/>
              <w:rPr>
                <w:bCs/>
                <w:sz w:val="20"/>
              </w:rPr>
            </w:pPr>
            <w:r w:rsidRPr="00B34608">
              <w:rPr>
                <w:bCs/>
                <w:sz w:val="20"/>
              </w:rPr>
              <w:t>4</w:t>
            </w:r>
          </w:p>
        </w:tc>
      </w:tr>
      <w:tr w:rsidR="00D2569B" w:rsidRPr="00B34608" w:rsidTr="00CD17A9">
        <w:trPr>
          <w:trHeight w:val="616"/>
        </w:trPr>
        <w:tc>
          <w:tcPr>
            <w:tcW w:w="659" w:type="dxa"/>
            <w:vAlign w:val="center"/>
          </w:tcPr>
          <w:p w:rsidR="00D2569B" w:rsidRPr="00B34608" w:rsidRDefault="00D2569B" w:rsidP="005079E8">
            <w:pPr>
              <w:jc w:val="center"/>
              <w:rPr>
                <w:b/>
                <w:bCs/>
                <w:sz w:val="20"/>
              </w:rPr>
            </w:pPr>
            <w:r w:rsidRPr="00B34608">
              <w:rPr>
                <w:b/>
                <w:bCs/>
                <w:sz w:val="20"/>
              </w:rPr>
              <w:t>1.</w:t>
            </w:r>
          </w:p>
        </w:tc>
        <w:tc>
          <w:tcPr>
            <w:tcW w:w="4019" w:type="dxa"/>
            <w:vAlign w:val="center"/>
          </w:tcPr>
          <w:p w:rsidR="00D2569B" w:rsidRPr="00B34608" w:rsidRDefault="00D2569B" w:rsidP="00BA5A6C">
            <w:pPr>
              <w:rPr>
                <w:b/>
                <w:bCs/>
                <w:sz w:val="20"/>
              </w:rPr>
            </w:pPr>
            <w:r>
              <w:rPr>
                <w:b/>
                <w:bCs/>
                <w:sz w:val="20"/>
              </w:rPr>
              <w:t>Payable subsidies</w:t>
            </w:r>
            <w:r w:rsidRPr="00B34608">
              <w:rPr>
                <w:b/>
                <w:bCs/>
                <w:sz w:val="20"/>
              </w:rPr>
              <w:t xml:space="preserve">, </w:t>
            </w:r>
            <w:r>
              <w:rPr>
                <w:b/>
                <w:bCs/>
                <w:sz w:val="20"/>
              </w:rPr>
              <w:t>grants and financing amounts</w:t>
            </w:r>
          </w:p>
        </w:tc>
        <w:tc>
          <w:tcPr>
            <w:tcW w:w="2126" w:type="dxa"/>
            <w:vAlign w:val="center"/>
          </w:tcPr>
          <w:p w:rsidR="00D2569B" w:rsidRPr="00B34608" w:rsidRDefault="00D2569B" w:rsidP="00BC5D5C">
            <w:pPr>
              <w:tabs>
                <w:tab w:val="left" w:pos="0"/>
              </w:tabs>
              <w:jc w:val="center"/>
              <w:rPr>
                <w:b/>
                <w:bCs/>
                <w:sz w:val="20"/>
              </w:rPr>
            </w:pPr>
          </w:p>
        </w:tc>
        <w:tc>
          <w:tcPr>
            <w:tcW w:w="2552" w:type="dxa"/>
          </w:tcPr>
          <w:p w:rsidR="00D2569B" w:rsidRPr="00B34608" w:rsidRDefault="00D2569B" w:rsidP="00BC5D5C">
            <w:pPr>
              <w:tabs>
                <w:tab w:val="left" w:pos="0"/>
              </w:tabs>
              <w:jc w:val="center"/>
              <w:rPr>
                <w:b/>
                <w:bCs/>
                <w:sz w:val="20"/>
              </w:rPr>
            </w:pPr>
          </w:p>
        </w:tc>
      </w:tr>
      <w:tr w:rsidR="00D2569B" w:rsidRPr="00B34608" w:rsidTr="00CD17A9">
        <w:trPr>
          <w:trHeight w:val="427"/>
        </w:trPr>
        <w:tc>
          <w:tcPr>
            <w:tcW w:w="659" w:type="dxa"/>
            <w:vAlign w:val="center"/>
          </w:tcPr>
          <w:p w:rsidR="00D2569B" w:rsidRPr="00B34608" w:rsidRDefault="00D2569B" w:rsidP="003D48EF">
            <w:pPr>
              <w:jc w:val="center"/>
              <w:rPr>
                <w:b/>
                <w:bCs/>
                <w:sz w:val="20"/>
              </w:rPr>
            </w:pPr>
            <w:r w:rsidRPr="00B34608">
              <w:rPr>
                <w:b/>
                <w:bCs/>
                <w:sz w:val="20"/>
              </w:rPr>
              <w:t xml:space="preserve">2. </w:t>
            </w:r>
          </w:p>
        </w:tc>
        <w:tc>
          <w:tcPr>
            <w:tcW w:w="4019" w:type="dxa"/>
            <w:vAlign w:val="center"/>
          </w:tcPr>
          <w:p w:rsidR="00D2569B" w:rsidRPr="00B34608" w:rsidRDefault="00D2569B" w:rsidP="003D48EF">
            <w:pPr>
              <w:rPr>
                <w:b/>
                <w:bCs/>
                <w:sz w:val="20"/>
              </w:rPr>
            </w:pPr>
            <w:r>
              <w:rPr>
                <w:b/>
                <w:bCs/>
                <w:sz w:val="20"/>
              </w:rPr>
              <w:t xml:space="preserve">Liabilities related with employment relations </w:t>
            </w:r>
            <w:r w:rsidRPr="00B34608">
              <w:rPr>
                <w:b/>
                <w:bCs/>
                <w:sz w:val="20"/>
              </w:rPr>
              <w:t xml:space="preserve"> </w:t>
            </w:r>
          </w:p>
        </w:tc>
        <w:tc>
          <w:tcPr>
            <w:tcW w:w="2126" w:type="dxa"/>
            <w:shd w:val="clear" w:color="000000" w:fill="FFFFFF"/>
            <w:vAlign w:val="center"/>
          </w:tcPr>
          <w:p w:rsidR="00D2569B" w:rsidRPr="00B34608" w:rsidRDefault="00D2569B" w:rsidP="003D48EF">
            <w:pPr>
              <w:rPr>
                <w:sz w:val="20"/>
              </w:rPr>
            </w:pPr>
            <w:r w:rsidRPr="00B34608">
              <w:rPr>
                <w:sz w:val="20"/>
              </w:rPr>
              <w:t> </w:t>
            </w:r>
          </w:p>
        </w:tc>
        <w:tc>
          <w:tcPr>
            <w:tcW w:w="2552" w:type="dxa"/>
            <w:vAlign w:val="center"/>
          </w:tcPr>
          <w:p w:rsidR="00D2569B" w:rsidRPr="00B34608" w:rsidRDefault="00D2569B" w:rsidP="000F5FE2">
            <w:pPr>
              <w:ind w:hanging="250"/>
              <w:rPr>
                <w:b/>
                <w:bCs/>
                <w:sz w:val="20"/>
              </w:rPr>
            </w:pPr>
          </w:p>
        </w:tc>
      </w:tr>
      <w:tr w:rsidR="00D2569B" w:rsidRPr="00B34608" w:rsidTr="00CD17A9">
        <w:trPr>
          <w:trHeight w:val="255"/>
        </w:trPr>
        <w:tc>
          <w:tcPr>
            <w:tcW w:w="659" w:type="dxa"/>
            <w:vAlign w:val="center"/>
          </w:tcPr>
          <w:p w:rsidR="00D2569B" w:rsidRPr="00B34608" w:rsidRDefault="00D2569B" w:rsidP="003D48EF">
            <w:pPr>
              <w:jc w:val="center"/>
              <w:rPr>
                <w:b/>
                <w:bCs/>
                <w:sz w:val="20"/>
              </w:rPr>
            </w:pPr>
            <w:r w:rsidRPr="00B34608">
              <w:rPr>
                <w:b/>
                <w:bCs/>
                <w:sz w:val="20"/>
              </w:rPr>
              <w:t>3.</w:t>
            </w:r>
          </w:p>
        </w:tc>
        <w:tc>
          <w:tcPr>
            <w:tcW w:w="4019" w:type="dxa"/>
            <w:vAlign w:val="center"/>
          </w:tcPr>
          <w:p w:rsidR="00D2569B" w:rsidRPr="00B34608" w:rsidRDefault="00D2569B" w:rsidP="003D48EF">
            <w:pPr>
              <w:rPr>
                <w:b/>
                <w:bCs/>
                <w:sz w:val="20"/>
              </w:rPr>
            </w:pPr>
            <w:r w:rsidRPr="00B34608">
              <w:rPr>
                <w:b/>
                <w:bCs/>
                <w:sz w:val="20"/>
              </w:rPr>
              <w:t>T</w:t>
            </w:r>
            <w:r>
              <w:rPr>
                <w:b/>
                <w:bCs/>
                <w:sz w:val="20"/>
              </w:rPr>
              <w:t>rade payables</w:t>
            </w:r>
          </w:p>
        </w:tc>
        <w:tc>
          <w:tcPr>
            <w:tcW w:w="2126" w:type="dxa"/>
            <w:vAlign w:val="center"/>
          </w:tcPr>
          <w:p w:rsidR="00D2569B" w:rsidRPr="00B34608" w:rsidRDefault="00D2569B" w:rsidP="003D48EF">
            <w:pPr>
              <w:rPr>
                <w:b/>
                <w:bCs/>
                <w:sz w:val="20"/>
              </w:rPr>
            </w:pPr>
            <w:r w:rsidRPr="00B34608">
              <w:rPr>
                <w:b/>
                <w:bCs/>
                <w:sz w:val="20"/>
              </w:rPr>
              <w:t> </w:t>
            </w:r>
          </w:p>
        </w:tc>
        <w:tc>
          <w:tcPr>
            <w:tcW w:w="2552" w:type="dxa"/>
            <w:vAlign w:val="center"/>
          </w:tcPr>
          <w:p w:rsidR="00D2569B" w:rsidRPr="00B34608" w:rsidRDefault="00D2569B" w:rsidP="003D48EF">
            <w:pPr>
              <w:rPr>
                <w:b/>
                <w:bCs/>
                <w:sz w:val="20"/>
              </w:rPr>
            </w:pPr>
          </w:p>
        </w:tc>
      </w:tr>
      <w:tr w:rsidR="00D2569B" w:rsidRPr="00B34608" w:rsidTr="00CD17A9">
        <w:trPr>
          <w:trHeight w:val="253"/>
        </w:trPr>
        <w:tc>
          <w:tcPr>
            <w:tcW w:w="659" w:type="dxa"/>
            <w:vAlign w:val="center"/>
          </w:tcPr>
          <w:p w:rsidR="00D2569B" w:rsidRPr="00B34608" w:rsidRDefault="00D2569B" w:rsidP="003D48EF">
            <w:pPr>
              <w:jc w:val="center"/>
              <w:rPr>
                <w:b/>
                <w:bCs/>
                <w:sz w:val="20"/>
              </w:rPr>
            </w:pPr>
            <w:r w:rsidRPr="00B34608">
              <w:rPr>
                <w:b/>
                <w:bCs/>
                <w:sz w:val="20"/>
              </w:rPr>
              <w:t>4.</w:t>
            </w:r>
          </w:p>
        </w:tc>
        <w:tc>
          <w:tcPr>
            <w:tcW w:w="4019" w:type="dxa"/>
            <w:vAlign w:val="center"/>
          </w:tcPr>
          <w:p w:rsidR="00D2569B" w:rsidRPr="00B34608" w:rsidRDefault="00D2569B" w:rsidP="003D48EF">
            <w:pPr>
              <w:rPr>
                <w:b/>
                <w:bCs/>
                <w:sz w:val="20"/>
              </w:rPr>
            </w:pPr>
            <w:r>
              <w:rPr>
                <w:b/>
                <w:bCs/>
                <w:sz w:val="20"/>
              </w:rPr>
              <w:t>Accrued payables</w:t>
            </w:r>
          </w:p>
        </w:tc>
        <w:tc>
          <w:tcPr>
            <w:tcW w:w="2126" w:type="dxa"/>
            <w:vAlign w:val="center"/>
          </w:tcPr>
          <w:p w:rsidR="00D2569B" w:rsidRPr="00B34608" w:rsidRDefault="00D2569B" w:rsidP="00C44453">
            <w:pPr>
              <w:jc w:val="right"/>
              <w:rPr>
                <w:b/>
                <w:bCs/>
                <w:sz w:val="20"/>
              </w:rPr>
            </w:pPr>
            <w:r w:rsidRPr="00B34608">
              <w:rPr>
                <w:b/>
                <w:bCs/>
                <w:sz w:val="20"/>
              </w:rPr>
              <w:t>8</w:t>
            </w:r>
            <w:r>
              <w:rPr>
                <w:b/>
                <w:bCs/>
                <w:sz w:val="20"/>
              </w:rPr>
              <w:t>,</w:t>
            </w:r>
            <w:r w:rsidRPr="00B34608">
              <w:rPr>
                <w:b/>
                <w:bCs/>
                <w:sz w:val="20"/>
              </w:rPr>
              <w:t>344</w:t>
            </w:r>
            <w:r>
              <w:rPr>
                <w:b/>
                <w:bCs/>
                <w:sz w:val="20"/>
              </w:rPr>
              <w:t>,</w:t>
            </w:r>
            <w:r w:rsidRPr="00B34608">
              <w:rPr>
                <w:b/>
                <w:bCs/>
                <w:sz w:val="20"/>
              </w:rPr>
              <w:t>474</w:t>
            </w:r>
          </w:p>
        </w:tc>
        <w:tc>
          <w:tcPr>
            <w:tcW w:w="2552" w:type="dxa"/>
            <w:vAlign w:val="center"/>
          </w:tcPr>
          <w:p w:rsidR="00D2569B" w:rsidRPr="00B34608" w:rsidRDefault="00D2569B" w:rsidP="00831773">
            <w:pPr>
              <w:jc w:val="right"/>
              <w:rPr>
                <w:b/>
                <w:bCs/>
                <w:sz w:val="20"/>
              </w:rPr>
            </w:pPr>
            <w:r w:rsidRPr="00B34608">
              <w:rPr>
                <w:b/>
                <w:bCs/>
                <w:sz w:val="20"/>
              </w:rPr>
              <w:t>2</w:t>
            </w:r>
            <w:r>
              <w:rPr>
                <w:b/>
                <w:bCs/>
                <w:sz w:val="20"/>
              </w:rPr>
              <w:t>,</w:t>
            </w:r>
            <w:r w:rsidRPr="00B34608">
              <w:rPr>
                <w:b/>
                <w:bCs/>
                <w:sz w:val="20"/>
              </w:rPr>
              <w:t>189</w:t>
            </w:r>
            <w:r>
              <w:rPr>
                <w:b/>
                <w:bCs/>
                <w:sz w:val="20"/>
              </w:rPr>
              <w:t>,</w:t>
            </w:r>
            <w:r w:rsidRPr="00B34608">
              <w:rPr>
                <w:b/>
                <w:bCs/>
                <w:sz w:val="20"/>
              </w:rPr>
              <w:t>390</w:t>
            </w:r>
          </w:p>
        </w:tc>
      </w:tr>
      <w:tr w:rsidR="00D2569B" w:rsidRPr="00B34608" w:rsidTr="00CD17A9">
        <w:trPr>
          <w:trHeight w:val="313"/>
        </w:trPr>
        <w:tc>
          <w:tcPr>
            <w:tcW w:w="659" w:type="dxa"/>
            <w:vAlign w:val="center"/>
          </w:tcPr>
          <w:p w:rsidR="00D2569B" w:rsidRPr="00B34608" w:rsidRDefault="00D2569B" w:rsidP="003D48EF">
            <w:pPr>
              <w:jc w:val="center"/>
              <w:rPr>
                <w:sz w:val="20"/>
              </w:rPr>
            </w:pPr>
            <w:r w:rsidRPr="00B34608">
              <w:rPr>
                <w:sz w:val="20"/>
              </w:rPr>
              <w:t xml:space="preserve"> </w:t>
            </w:r>
            <w:r w:rsidRPr="00B34608">
              <w:rPr>
                <w:b/>
                <w:bCs/>
                <w:sz w:val="20"/>
              </w:rPr>
              <w:t>4.1.</w:t>
            </w:r>
          </w:p>
        </w:tc>
        <w:tc>
          <w:tcPr>
            <w:tcW w:w="4019" w:type="dxa"/>
            <w:vAlign w:val="center"/>
          </w:tcPr>
          <w:p w:rsidR="00D2569B" w:rsidRPr="00B34608" w:rsidRDefault="00D2569B" w:rsidP="003D48EF">
            <w:pPr>
              <w:rPr>
                <w:sz w:val="20"/>
              </w:rPr>
            </w:pPr>
            <w:r>
              <w:rPr>
                <w:sz w:val="20"/>
              </w:rPr>
              <w:t>Accrued funding expenses</w:t>
            </w:r>
          </w:p>
        </w:tc>
        <w:tc>
          <w:tcPr>
            <w:tcW w:w="2126" w:type="dxa"/>
            <w:vAlign w:val="center"/>
          </w:tcPr>
          <w:p w:rsidR="00D2569B" w:rsidRPr="00B34608" w:rsidRDefault="00D2569B" w:rsidP="003D48EF">
            <w:pPr>
              <w:rPr>
                <w:b/>
                <w:bCs/>
                <w:sz w:val="20"/>
              </w:rPr>
            </w:pPr>
            <w:r w:rsidRPr="00B34608">
              <w:rPr>
                <w:b/>
                <w:bCs/>
                <w:sz w:val="20"/>
              </w:rPr>
              <w:t> </w:t>
            </w:r>
          </w:p>
        </w:tc>
        <w:tc>
          <w:tcPr>
            <w:tcW w:w="2552" w:type="dxa"/>
            <w:vAlign w:val="center"/>
          </w:tcPr>
          <w:p w:rsidR="00D2569B" w:rsidRPr="00B34608" w:rsidRDefault="00D2569B" w:rsidP="003D48EF">
            <w:pPr>
              <w:rPr>
                <w:b/>
                <w:bCs/>
                <w:sz w:val="20"/>
              </w:rPr>
            </w:pPr>
          </w:p>
        </w:tc>
      </w:tr>
      <w:tr w:rsidR="00D2569B" w:rsidRPr="00B34608" w:rsidTr="00CD17A9">
        <w:trPr>
          <w:trHeight w:val="326"/>
        </w:trPr>
        <w:tc>
          <w:tcPr>
            <w:tcW w:w="659" w:type="dxa"/>
            <w:vAlign w:val="center"/>
          </w:tcPr>
          <w:p w:rsidR="00D2569B" w:rsidRPr="00B34608" w:rsidRDefault="00D2569B" w:rsidP="003D48EF">
            <w:pPr>
              <w:jc w:val="center"/>
              <w:rPr>
                <w:sz w:val="20"/>
              </w:rPr>
            </w:pPr>
            <w:r w:rsidRPr="00B34608">
              <w:rPr>
                <w:sz w:val="20"/>
              </w:rPr>
              <w:t xml:space="preserve"> </w:t>
            </w:r>
            <w:r w:rsidRPr="00B34608">
              <w:rPr>
                <w:b/>
                <w:bCs/>
                <w:sz w:val="20"/>
              </w:rPr>
              <w:t>4.2.</w:t>
            </w:r>
          </w:p>
        </w:tc>
        <w:tc>
          <w:tcPr>
            <w:tcW w:w="4019" w:type="dxa"/>
            <w:vAlign w:val="center"/>
          </w:tcPr>
          <w:p w:rsidR="00D2569B" w:rsidRPr="00B34608" w:rsidRDefault="00D2569B" w:rsidP="003D48EF">
            <w:pPr>
              <w:rPr>
                <w:sz w:val="20"/>
              </w:rPr>
            </w:pPr>
            <w:r>
              <w:rPr>
                <w:sz w:val="20"/>
              </w:rPr>
              <w:t>Accrued expenses for holiday pay</w:t>
            </w:r>
          </w:p>
        </w:tc>
        <w:tc>
          <w:tcPr>
            <w:tcW w:w="2126" w:type="dxa"/>
            <w:vAlign w:val="center"/>
          </w:tcPr>
          <w:p w:rsidR="00D2569B" w:rsidRPr="00B34608" w:rsidRDefault="00D2569B" w:rsidP="003D48EF">
            <w:pPr>
              <w:rPr>
                <w:b/>
                <w:bCs/>
                <w:sz w:val="20"/>
              </w:rPr>
            </w:pPr>
            <w:r w:rsidRPr="00B34608">
              <w:rPr>
                <w:b/>
                <w:bCs/>
                <w:sz w:val="20"/>
              </w:rPr>
              <w:t> </w:t>
            </w:r>
          </w:p>
        </w:tc>
        <w:tc>
          <w:tcPr>
            <w:tcW w:w="2552" w:type="dxa"/>
            <w:vAlign w:val="center"/>
          </w:tcPr>
          <w:p w:rsidR="00D2569B" w:rsidRPr="00B34608" w:rsidRDefault="00D2569B" w:rsidP="003D48EF">
            <w:pPr>
              <w:rPr>
                <w:b/>
                <w:bCs/>
                <w:sz w:val="20"/>
              </w:rPr>
            </w:pPr>
          </w:p>
        </w:tc>
      </w:tr>
      <w:tr w:rsidR="00D2569B" w:rsidRPr="00B34608" w:rsidTr="00CD17A9">
        <w:trPr>
          <w:trHeight w:val="300"/>
        </w:trPr>
        <w:tc>
          <w:tcPr>
            <w:tcW w:w="659" w:type="dxa"/>
            <w:vAlign w:val="center"/>
          </w:tcPr>
          <w:p w:rsidR="00D2569B" w:rsidRPr="00B34608" w:rsidRDefault="00D2569B" w:rsidP="003D48EF">
            <w:pPr>
              <w:jc w:val="center"/>
              <w:rPr>
                <w:b/>
                <w:bCs/>
                <w:sz w:val="20"/>
              </w:rPr>
            </w:pPr>
            <w:r w:rsidRPr="00B34608">
              <w:rPr>
                <w:b/>
                <w:bCs/>
                <w:sz w:val="20"/>
              </w:rPr>
              <w:t>4.3.</w:t>
            </w:r>
          </w:p>
        </w:tc>
        <w:tc>
          <w:tcPr>
            <w:tcW w:w="4019" w:type="dxa"/>
            <w:vAlign w:val="center"/>
          </w:tcPr>
          <w:p w:rsidR="00D2569B" w:rsidRPr="00B34608" w:rsidRDefault="00D2569B" w:rsidP="003D48EF">
            <w:pPr>
              <w:rPr>
                <w:sz w:val="20"/>
              </w:rPr>
            </w:pPr>
            <w:r>
              <w:rPr>
                <w:sz w:val="20"/>
              </w:rPr>
              <w:t>Other accrued expenses</w:t>
            </w:r>
            <w:r w:rsidRPr="00B34608">
              <w:rPr>
                <w:sz w:val="20"/>
              </w:rPr>
              <w:t xml:space="preserve"> </w:t>
            </w:r>
          </w:p>
        </w:tc>
        <w:tc>
          <w:tcPr>
            <w:tcW w:w="2126" w:type="dxa"/>
            <w:vAlign w:val="center"/>
          </w:tcPr>
          <w:p w:rsidR="00D2569B" w:rsidRPr="00B34608" w:rsidRDefault="00D2569B" w:rsidP="00740CAD">
            <w:pPr>
              <w:jc w:val="right"/>
              <w:rPr>
                <w:bCs/>
                <w:sz w:val="20"/>
              </w:rPr>
            </w:pPr>
            <w:r>
              <w:rPr>
                <w:bCs/>
                <w:sz w:val="20"/>
              </w:rPr>
              <w:t>8,</w:t>
            </w:r>
            <w:r w:rsidRPr="00B34608">
              <w:rPr>
                <w:bCs/>
                <w:sz w:val="20"/>
              </w:rPr>
              <w:t>338</w:t>
            </w:r>
            <w:r>
              <w:rPr>
                <w:bCs/>
                <w:sz w:val="20"/>
              </w:rPr>
              <w:t>,</w:t>
            </w:r>
            <w:r w:rsidRPr="00B34608">
              <w:rPr>
                <w:bCs/>
                <w:sz w:val="20"/>
              </w:rPr>
              <w:t>141</w:t>
            </w:r>
          </w:p>
        </w:tc>
        <w:tc>
          <w:tcPr>
            <w:tcW w:w="2552" w:type="dxa"/>
            <w:vAlign w:val="center"/>
          </w:tcPr>
          <w:p w:rsidR="00D2569B" w:rsidRPr="00B34608" w:rsidRDefault="00D2569B" w:rsidP="00831773">
            <w:pPr>
              <w:jc w:val="right"/>
              <w:rPr>
                <w:bCs/>
                <w:sz w:val="20"/>
              </w:rPr>
            </w:pPr>
            <w:r w:rsidRPr="00B34608">
              <w:rPr>
                <w:bCs/>
                <w:sz w:val="20"/>
              </w:rPr>
              <w:t>1</w:t>
            </w:r>
            <w:r>
              <w:rPr>
                <w:bCs/>
                <w:sz w:val="20"/>
              </w:rPr>
              <w:t>,</w:t>
            </w:r>
            <w:r w:rsidRPr="00B34608">
              <w:rPr>
                <w:bCs/>
                <w:sz w:val="20"/>
              </w:rPr>
              <w:t>898</w:t>
            </w:r>
            <w:r>
              <w:rPr>
                <w:bCs/>
                <w:sz w:val="20"/>
              </w:rPr>
              <w:t>,</w:t>
            </w:r>
            <w:r w:rsidRPr="00B34608">
              <w:rPr>
                <w:bCs/>
                <w:sz w:val="20"/>
              </w:rPr>
              <w:t>718</w:t>
            </w:r>
          </w:p>
        </w:tc>
      </w:tr>
      <w:tr w:rsidR="00D2569B" w:rsidRPr="00B34608" w:rsidTr="00CD17A9">
        <w:trPr>
          <w:trHeight w:val="300"/>
        </w:trPr>
        <w:tc>
          <w:tcPr>
            <w:tcW w:w="659" w:type="dxa"/>
            <w:vAlign w:val="center"/>
          </w:tcPr>
          <w:p w:rsidR="00D2569B" w:rsidRPr="00B34608" w:rsidRDefault="00D2569B" w:rsidP="003D48EF">
            <w:pPr>
              <w:jc w:val="center"/>
              <w:rPr>
                <w:b/>
                <w:bCs/>
                <w:sz w:val="20"/>
              </w:rPr>
            </w:pPr>
            <w:r w:rsidRPr="00B34608">
              <w:rPr>
                <w:b/>
                <w:bCs/>
                <w:sz w:val="20"/>
              </w:rPr>
              <w:t xml:space="preserve">4.4. </w:t>
            </w:r>
          </w:p>
        </w:tc>
        <w:tc>
          <w:tcPr>
            <w:tcW w:w="4019" w:type="dxa"/>
            <w:vAlign w:val="center"/>
          </w:tcPr>
          <w:p w:rsidR="00D2569B" w:rsidRPr="00B34608" w:rsidRDefault="00D2569B" w:rsidP="003D48EF">
            <w:pPr>
              <w:rPr>
                <w:sz w:val="20"/>
              </w:rPr>
            </w:pPr>
            <w:r>
              <w:rPr>
                <w:sz w:val="20"/>
              </w:rPr>
              <w:t>Other accrued payables</w:t>
            </w:r>
          </w:p>
        </w:tc>
        <w:tc>
          <w:tcPr>
            <w:tcW w:w="2126" w:type="dxa"/>
            <w:vAlign w:val="center"/>
          </w:tcPr>
          <w:p w:rsidR="00D2569B" w:rsidRPr="00B34608" w:rsidRDefault="00D2569B" w:rsidP="00705BA7">
            <w:pPr>
              <w:jc w:val="right"/>
              <w:rPr>
                <w:bCs/>
                <w:sz w:val="20"/>
              </w:rPr>
            </w:pPr>
            <w:r w:rsidRPr="00B34608">
              <w:rPr>
                <w:bCs/>
                <w:sz w:val="20"/>
              </w:rPr>
              <w:t>6</w:t>
            </w:r>
            <w:r>
              <w:rPr>
                <w:bCs/>
                <w:sz w:val="20"/>
              </w:rPr>
              <w:t>,</w:t>
            </w:r>
            <w:r w:rsidRPr="00B34608">
              <w:rPr>
                <w:bCs/>
                <w:sz w:val="20"/>
              </w:rPr>
              <w:t>333</w:t>
            </w:r>
          </w:p>
        </w:tc>
        <w:tc>
          <w:tcPr>
            <w:tcW w:w="2552" w:type="dxa"/>
            <w:vAlign w:val="center"/>
          </w:tcPr>
          <w:p w:rsidR="00D2569B" w:rsidRPr="00B34608" w:rsidRDefault="00D2569B" w:rsidP="00705BA7">
            <w:pPr>
              <w:jc w:val="right"/>
              <w:rPr>
                <w:bCs/>
                <w:sz w:val="20"/>
              </w:rPr>
            </w:pPr>
            <w:r w:rsidRPr="00B34608">
              <w:rPr>
                <w:bCs/>
                <w:sz w:val="20"/>
              </w:rPr>
              <w:t>290</w:t>
            </w:r>
            <w:r>
              <w:rPr>
                <w:bCs/>
                <w:sz w:val="20"/>
              </w:rPr>
              <w:t>,</w:t>
            </w:r>
            <w:r w:rsidRPr="00B34608">
              <w:rPr>
                <w:bCs/>
                <w:sz w:val="20"/>
              </w:rPr>
              <w:t>672</w:t>
            </w:r>
          </w:p>
        </w:tc>
      </w:tr>
      <w:tr w:rsidR="00D2569B" w:rsidRPr="00B34608" w:rsidTr="00CD17A9">
        <w:trPr>
          <w:trHeight w:val="369"/>
        </w:trPr>
        <w:tc>
          <w:tcPr>
            <w:tcW w:w="659" w:type="dxa"/>
            <w:vAlign w:val="center"/>
          </w:tcPr>
          <w:p w:rsidR="00D2569B" w:rsidRPr="00B34608" w:rsidRDefault="00D2569B" w:rsidP="003D48EF">
            <w:pPr>
              <w:jc w:val="center"/>
              <w:rPr>
                <w:b/>
                <w:bCs/>
                <w:sz w:val="20"/>
              </w:rPr>
            </w:pPr>
            <w:r w:rsidRPr="00B34608">
              <w:rPr>
                <w:b/>
                <w:bCs/>
                <w:sz w:val="20"/>
              </w:rPr>
              <w:t>5.</w:t>
            </w:r>
          </w:p>
        </w:tc>
        <w:tc>
          <w:tcPr>
            <w:tcW w:w="4019" w:type="dxa"/>
            <w:vAlign w:val="center"/>
          </w:tcPr>
          <w:p w:rsidR="00D2569B" w:rsidRPr="00B34608" w:rsidRDefault="00D2569B" w:rsidP="003D48EF">
            <w:pPr>
              <w:rPr>
                <w:b/>
                <w:bCs/>
                <w:sz w:val="20"/>
              </w:rPr>
            </w:pPr>
            <w:r>
              <w:rPr>
                <w:b/>
                <w:bCs/>
                <w:sz w:val="20"/>
              </w:rPr>
              <w:t>Other short-term</w:t>
            </w:r>
            <w:r w:rsidRPr="00B34608">
              <w:rPr>
                <w:b/>
                <w:bCs/>
                <w:sz w:val="20"/>
              </w:rPr>
              <w:t xml:space="preserve"> </w:t>
            </w:r>
            <w:r>
              <w:rPr>
                <w:b/>
                <w:bCs/>
                <w:sz w:val="20"/>
              </w:rPr>
              <w:t>liabilities</w:t>
            </w:r>
          </w:p>
        </w:tc>
        <w:tc>
          <w:tcPr>
            <w:tcW w:w="2126" w:type="dxa"/>
            <w:vAlign w:val="bottom"/>
          </w:tcPr>
          <w:p w:rsidR="00D2569B" w:rsidRPr="00B34608" w:rsidRDefault="00D2569B" w:rsidP="00406675">
            <w:pPr>
              <w:jc w:val="right"/>
              <w:rPr>
                <w:b/>
                <w:bCs/>
                <w:sz w:val="20"/>
              </w:rPr>
            </w:pPr>
            <w:r w:rsidRPr="00B34608">
              <w:rPr>
                <w:b/>
                <w:bCs/>
                <w:sz w:val="20"/>
              </w:rPr>
              <w:t>18</w:t>
            </w:r>
            <w:r>
              <w:rPr>
                <w:b/>
                <w:bCs/>
                <w:sz w:val="20"/>
              </w:rPr>
              <w:t>,</w:t>
            </w:r>
            <w:r w:rsidRPr="00B34608">
              <w:rPr>
                <w:b/>
                <w:bCs/>
                <w:sz w:val="20"/>
              </w:rPr>
              <w:t>491</w:t>
            </w:r>
          </w:p>
          <w:p w:rsidR="00D2569B" w:rsidRPr="00B34608" w:rsidRDefault="00D2569B" w:rsidP="00406675">
            <w:pPr>
              <w:jc w:val="right"/>
              <w:rPr>
                <w:b/>
                <w:bCs/>
                <w:sz w:val="20"/>
              </w:rPr>
            </w:pPr>
          </w:p>
        </w:tc>
        <w:tc>
          <w:tcPr>
            <w:tcW w:w="2552" w:type="dxa"/>
            <w:vAlign w:val="center"/>
          </w:tcPr>
          <w:p w:rsidR="00D2569B" w:rsidRPr="00B34608" w:rsidRDefault="00D2569B" w:rsidP="00705BA7">
            <w:pPr>
              <w:jc w:val="right"/>
              <w:rPr>
                <w:b/>
                <w:bCs/>
                <w:sz w:val="20"/>
              </w:rPr>
            </w:pPr>
            <w:r>
              <w:rPr>
                <w:b/>
                <w:bCs/>
                <w:sz w:val="20"/>
              </w:rPr>
              <w:t>35,</w:t>
            </w:r>
            <w:r w:rsidRPr="00B34608">
              <w:rPr>
                <w:b/>
                <w:bCs/>
                <w:sz w:val="20"/>
              </w:rPr>
              <w:t>990</w:t>
            </w:r>
          </w:p>
        </w:tc>
      </w:tr>
      <w:tr w:rsidR="00D2569B" w:rsidRPr="00B34608" w:rsidTr="00CD17A9">
        <w:trPr>
          <w:trHeight w:val="300"/>
        </w:trPr>
        <w:tc>
          <w:tcPr>
            <w:tcW w:w="659" w:type="dxa"/>
            <w:vAlign w:val="center"/>
          </w:tcPr>
          <w:p w:rsidR="00D2569B" w:rsidRPr="00B34608" w:rsidRDefault="00D2569B" w:rsidP="003D48EF">
            <w:pPr>
              <w:jc w:val="center"/>
              <w:rPr>
                <w:b/>
                <w:bCs/>
                <w:sz w:val="20"/>
              </w:rPr>
            </w:pPr>
            <w:r w:rsidRPr="00B34608">
              <w:rPr>
                <w:b/>
                <w:bCs/>
                <w:sz w:val="20"/>
              </w:rPr>
              <w:t>5.1.</w:t>
            </w:r>
          </w:p>
        </w:tc>
        <w:tc>
          <w:tcPr>
            <w:tcW w:w="4019" w:type="dxa"/>
            <w:vAlign w:val="center"/>
          </w:tcPr>
          <w:p w:rsidR="00D2569B" w:rsidRPr="00B34608" w:rsidRDefault="00D2569B" w:rsidP="003D48EF">
            <w:pPr>
              <w:rPr>
                <w:sz w:val="20"/>
              </w:rPr>
            </w:pPr>
            <w:r>
              <w:rPr>
                <w:sz w:val="20"/>
              </w:rPr>
              <w:t>Payable taxes on operations</w:t>
            </w:r>
          </w:p>
        </w:tc>
        <w:tc>
          <w:tcPr>
            <w:tcW w:w="2126" w:type="dxa"/>
            <w:vAlign w:val="center"/>
          </w:tcPr>
          <w:p w:rsidR="00D2569B" w:rsidRPr="00B34608" w:rsidRDefault="00D2569B" w:rsidP="00D160D7">
            <w:pPr>
              <w:jc w:val="right"/>
              <w:rPr>
                <w:b/>
                <w:bCs/>
                <w:sz w:val="20"/>
              </w:rPr>
            </w:pPr>
            <w:r w:rsidRPr="00B34608">
              <w:rPr>
                <w:b/>
                <w:bCs/>
                <w:sz w:val="20"/>
              </w:rPr>
              <w:t> </w:t>
            </w:r>
          </w:p>
        </w:tc>
        <w:tc>
          <w:tcPr>
            <w:tcW w:w="2552" w:type="dxa"/>
            <w:vAlign w:val="center"/>
          </w:tcPr>
          <w:p w:rsidR="00D2569B" w:rsidRPr="00B34608" w:rsidRDefault="00D2569B" w:rsidP="00705BA7">
            <w:pPr>
              <w:jc w:val="right"/>
              <w:rPr>
                <w:b/>
                <w:bCs/>
                <w:sz w:val="20"/>
              </w:rPr>
            </w:pPr>
          </w:p>
        </w:tc>
      </w:tr>
      <w:tr w:rsidR="00D2569B" w:rsidRPr="00B34608" w:rsidTr="00CD17A9">
        <w:trPr>
          <w:trHeight w:val="300"/>
        </w:trPr>
        <w:tc>
          <w:tcPr>
            <w:tcW w:w="659" w:type="dxa"/>
            <w:vAlign w:val="center"/>
          </w:tcPr>
          <w:p w:rsidR="00D2569B" w:rsidRPr="00B34608" w:rsidRDefault="00D2569B" w:rsidP="003D48EF">
            <w:pPr>
              <w:jc w:val="center"/>
              <w:rPr>
                <w:b/>
                <w:bCs/>
                <w:sz w:val="20"/>
              </w:rPr>
            </w:pPr>
            <w:r w:rsidRPr="00B34608">
              <w:rPr>
                <w:b/>
                <w:bCs/>
                <w:sz w:val="20"/>
              </w:rPr>
              <w:t>5.2.</w:t>
            </w:r>
          </w:p>
        </w:tc>
        <w:tc>
          <w:tcPr>
            <w:tcW w:w="4019" w:type="dxa"/>
            <w:vAlign w:val="center"/>
          </w:tcPr>
          <w:p w:rsidR="00D2569B" w:rsidRPr="00B34608" w:rsidRDefault="00D2569B" w:rsidP="003D48EF">
            <w:pPr>
              <w:rPr>
                <w:sz w:val="20"/>
              </w:rPr>
            </w:pPr>
            <w:r>
              <w:rPr>
                <w:sz w:val="20"/>
              </w:rPr>
              <w:t>Received prepayments</w:t>
            </w:r>
          </w:p>
        </w:tc>
        <w:tc>
          <w:tcPr>
            <w:tcW w:w="2126" w:type="dxa"/>
            <w:vAlign w:val="center"/>
          </w:tcPr>
          <w:p w:rsidR="00D2569B" w:rsidRPr="00B34608" w:rsidRDefault="00D2569B" w:rsidP="00D160D7">
            <w:pPr>
              <w:jc w:val="right"/>
              <w:rPr>
                <w:bCs/>
                <w:sz w:val="20"/>
              </w:rPr>
            </w:pPr>
            <w:r w:rsidRPr="00B34608">
              <w:rPr>
                <w:bCs/>
                <w:sz w:val="20"/>
              </w:rPr>
              <w:t>12</w:t>
            </w:r>
            <w:r>
              <w:rPr>
                <w:bCs/>
                <w:sz w:val="20"/>
              </w:rPr>
              <w:t>,</w:t>
            </w:r>
            <w:r w:rsidRPr="00B34608">
              <w:rPr>
                <w:bCs/>
                <w:sz w:val="20"/>
              </w:rPr>
              <w:t>779</w:t>
            </w:r>
          </w:p>
        </w:tc>
        <w:tc>
          <w:tcPr>
            <w:tcW w:w="2552" w:type="dxa"/>
            <w:vAlign w:val="center"/>
          </w:tcPr>
          <w:p w:rsidR="00D2569B" w:rsidRPr="00B34608" w:rsidRDefault="00D2569B" w:rsidP="00705BA7">
            <w:pPr>
              <w:jc w:val="right"/>
              <w:rPr>
                <w:bCs/>
                <w:sz w:val="20"/>
              </w:rPr>
            </w:pPr>
            <w:r>
              <w:rPr>
                <w:bCs/>
                <w:sz w:val="20"/>
              </w:rPr>
              <w:t>35,</w:t>
            </w:r>
            <w:r w:rsidRPr="00B34608">
              <w:rPr>
                <w:bCs/>
                <w:sz w:val="20"/>
              </w:rPr>
              <w:t>990</w:t>
            </w:r>
          </w:p>
        </w:tc>
      </w:tr>
      <w:tr w:rsidR="00D2569B" w:rsidRPr="00B34608" w:rsidTr="00CD17A9">
        <w:trPr>
          <w:trHeight w:val="300"/>
        </w:trPr>
        <w:tc>
          <w:tcPr>
            <w:tcW w:w="659" w:type="dxa"/>
            <w:vAlign w:val="center"/>
          </w:tcPr>
          <w:p w:rsidR="00D2569B" w:rsidRPr="00B34608" w:rsidRDefault="00D2569B" w:rsidP="003D48EF">
            <w:pPr>
              <w:jc w:val="center"/>
              <w:rPr>
                <w:b/>
                <w:bCs/>
                <w:sz w:val="20"/>
              </w:rPr>
            </w:pPr>
            <w:r w:rsidRPr="00B34608">
              <w:rPr>
                <w:b/>
                <w:bCs/>
                <w:sz w:val="20"/>
              </w:rPr>
              <w:t xml:space="preserve">5.3. </w:t>
            </w:r>
          </w:p>
        </w:tc>
        <w:tc>
          <w:tcPr>
            <w:tcW w:w="4019" w:type="dxa"/>
            <w:vAlign w:val="center"/>
          </w:tcPr>
          <w:p w:rsidR="00D2569B" w:rsidRPr="00B34608" w:rsidRDefault="00D2569B" w:rsidP="003D48EF">
            <w:pPr>
              <w:rPr>
                <w:sz w:val="20"/>
              </w:rPr>
            </w:pPr>
            <w:r>
              <w:rPr>
                <w:sz w:val="20"/>
              </w:rPr>
              <w:t>Other payables</w:t>
            </w:r>
          </w:p>
        </w:tc>
        <w:tc>
          <w:tcPr>
            <w:tcW w:w="2126" w:type="dxa"/>
            <w:vAlign w:val="center"/>
          </w:tcPr>
          <w:p w:rsidR="00D2569B" w:rsidRPr="00B34608" w:rsidRDefault="00D2569B" w:rsidP="00D160D7">
            <w:pPr>
              <w:jc w:val="right"/>
              <w:rPr>
                <w:bCs/>
                <w:sz w:val="20"/>
              </w:rPr>
            </w:pPr>
            <w:r>
              <w:rPr>
                <w:bCs/>
                <w:sz w:val="20"/>
              </w:rPr>
              <w:t>5,</w:t>
            </w:r>
            <w:r w:rsidRPr="00B34608">
              <w:rPr>
                <w:bCs/>
                <w:sz w:val="20"/>
              </w:rPr>
              <w:t>712 </w:t>
            </w:r>
          </w:p>
        </w:tc>
        <w:tc>
          <w:tcPr>
            <w:tcW w:w="2552" w:type="dxa"/>
            <w:vAlign w:val="center"/>
          </w:tcPr>
          <w:p w:rsidR="00D2569B" w:rsidRPr="00B34608" w:rsidRDefault="00D2569B" w:rsidP="00705BA7">
            <w:pPr>
              <w:jc w:val="right"/>
              <w:rPr>
                <w:b/>
                <w:bCs/>
                <w:sz w:val="20"/>
              </w:rPr>
            </w:pPr>
          </w:p>
        </w:tc>
      </w:tr>
      <w:tr w:rsidR="00D2569B" w:rsidRPr="00B34608" w:rsidTr="00CD17A9">
        <w:trPr>
          <w:trHeight w:val="510"/>
        </w:trPr>
        <w:tc>
          <w:tcPr>
            <w:tcW w:w="659" w:type="dxa"/>
            <w:vAlign w:val="center"/>
          </w:tcPr>
          <w:p w:rsidR="00D2569B" w:rsidRPr="00B34608" w:rsidRDefault="00D2569B" w:rsidP="003D48EF">
            <w:pPr>
              <w:jc w:val="center"/>
              <w:rPr>
                <w:b/>
                <w:bCs/>
                <w:sz w:val="20"/>
              </w:rPr>
            </w:pPr>
            <w:r w:rsidRPr="00B34608">
              <w:rPr>
                <w:b/>
                <w:bCs/>
                <w:sz w:val="20"/>
              </w:rPr>
              <w:t>6.</w:t>
            </w:r>
          </w:p>
        </w:tc>
        <w:tc>
          <w:tcPr>
            <w:tcW w:w="4019" w:type="dxa"/>
            <w:vAlign w:val="center"/>
          </w:tcPr>
          <w:p w:rsidR="00D2569B" w:rsidRPr="00B34608" w:rsidRDefault="00D2569B" w:rsidP="003D48EF">
            <w:pPr>
              <w:rPr>
                <w:b/>
                <w:bCs/>
                <w:sz w:val="20"/>
              </w:rPr>
            </w:pPr>
            <w:r>
              <w:rPr>
                <w:b/>
                <w:bCs/>
                <w:sz w:val="20"/>
              </w:rPr>
              <w:t xml:space="preserve">Carrying amount of certain short-term payables </w:t>
            </w:r>
            <w:r w:rsidRPr="00B34608">
              <w:rPr>
                <w:b/>
                <w:bCs/>
                <w:sz w:val="20"/>
              </w:rPr>
              <w:t>(1+2+3+4+5)</w:t>
            </w:r>
          </w:p>
        </w:tc>
        <w:tc>
          <w:tcPr>
            <w:tcW w:w="2126" w:type="dxa"/>
            <w:vAlign w:val="center"/>
          </w:tcPr>
          <w:p w:rsidR="00D2569B" w:rsidRPr="00B34608" w:rsidRDefault="00D2569B" w:rsidP="00D160D7">
            <w:pPr>
              <w:jc w:val="right"/>
              <w:rPr>
                <w:b/>
                <w:bCs/>
                <w:sz w:val="20"/>
              </w:rPr>
            </w:pPr>
            <w:r>
              <w:rPr>
                <w:b/>
                <w:sz w:val="20"/>
              </w:rPr>
              <w:t>8,</w:t>
            </w:r>
            <w:r w:rsidRPr="00B34608">
              <w:rPr>
                <w:b/>
                <w:sz w:val="20"/>
              </w:rPr>
              <w:t>362</w:t>
            </w:r>
            <w:r>
              <w:rPr>
                <w:b/>
                <w:sz w:val="20"/>
              </w:rPr>
              <w:t>,</w:t>
            </w:r>
            <w:r w:rsidRPr="00B34608">
              <w:rPr>
                <w:b/>
                <w:sz w:val="20"/>
              </w:rPr>
              <w:t>965</w:t>
            </w:r>
          </w:p>
        </w:tc>
        <w:tc>
          <w:tcPr>
            <w:tcW w:w="2552" w:type="dxa"/>
            <w:vAlign w:val="center"/>
          </w:tcPr>
          <w:p w:rsidR="00D2569B" w:rsidRPr="00B34608" w:rsidRDefault="00D2569B" w:rsidP="00705BA7">
            <w:pPr>
              <w:jc w:val="right"/>
              <w:rPr>
                <w:b/>
                <w:bCs/>
                <w:sz w:val="20"/>
              </w:rPr>
            </w:pPr>
            <w:r>
              <w:rPr>
                <w:b/>
                <w:bCs/>
                <w:sz w:val="20"/>
              </w:rPr>
              <w:t>2,</w:t>
            </w:r>
            <w:r w:rsidRPr="00B34608">
              <w:rPr>
                <w:b/>
                <w:bCs/>
                <w:sz w:val="20"/>
              </w:rPr>
              <w:t>225</w:t>
            </w:r>
            <w:r>
              <w:rPr>
                <w:b/>
                <w:bCs/>
                <w:sz w:val="20"/>
              </w:rPr>
              <w:t>,</w:t>
            </w:r>
            <w:r w:rsidRPr="00B34608">
              <w:rPr>
                <w:b/>
                <w:bCs/>
                <w:sz w:val="20"/>
              </w:rPr>
              <w:t>380</w:t>
            </w:r>
          </w:p>
        </w:tc>
      </w:tr>
    </w:tbl>
    <w:p w:rsidR="00D2569B" w:rsidRPr="00B34608" w:rsidRDefault="00D2569B" w:rsidP="00E83C06">
      <w:pPr>
        <w:jc w:val="both"/>
        <w:rPr>
          <w:szCs w:val="22"/>
        </w:rPr>
      </w:pPr>
    </w:p>
    <w:p w:rsidR="00D2569B" w:rsidRPr="00B34608" w:rsidRDefault="00D2569B" w:rsidP="00E83C06">
      <w:pPr>
        <w:jc w:val="both"/>
        <w:rPr>
          <w:szCs w:val="22"/>
        </w:rPr>
      </w:pPr>
    </w:p>
    <w:p w:rsidR="00D2569B" w:rsidRPr="00B34608" w:rsidRDefault="00D2569B" w:rsidP="005A55A4">
      <w:pPr>
        <w:spacing w:line="276" w:lineRule="auto"/>
        <w:jc w:val="both"/>
        <w:rPr>
          <w:bCs/>
          <w:szCs w:val="22"/>
          <w:lang w:eastAsia="lt-LT"/>
        </w:rPr>
      </w:pPr>
      <w:r w:rsidRPr="00B34608">
        <w:rPr>
          <w:szCs w:val="22"/>
        </w:rPr>
        <w:t xml:space="preserve">      </w:t>
      </w:r>
      <w:r>
        <w:rPr>
          <w:szCs w:val="22"/>
        </w:rPr>
        <w:t>Table</w:t>
      </w:r>
      <w:r w:rsidRPr="00B34608">
        <w:rPr>
          <w:szCs w:val="22"/>
        </w:rPr>
        <w:t xml:space="preserve"> 6 </w:t>
      </w:r>
      <w:r>
        <w:rPr>
          <w:szCs w:val="22"/>
        </w:rPr>
        <w:t>contains information on disbursed</w:t>
      </w:r>
      <w:r w:rsidRPr="00B34608">
        <w:rPr>
          <w:szCs w:val="22"/>
        </w:rPr>
        <w:t xml:space="preserve">, </w:t>
      </w:r>
      <w:r>
        <w:rPr>
          <w:szCs w:val="22"/>
        </w:rPr>
        <w:t>collected and not collected insurance compensations from the Fund and their dynamics</w:t>
      </w:r>
      <w:r w:rsidRPr="00B34608">
        <w:rPr>
          <w:szCs w:val="22"/>
        </w:rPr>
        <w:t xml:space="preserve">. </w:t>
      </w:r>
      <w:r>
        <w:rPr>
          <w:szCs w:val="22"/>
        </w:rPr>
        <w:t>The balance of insurance compensations</w:t>
      </w:r>
      <w:r w:rsidRPr="00C44150">
        <w:rPr>
          <w:szCs w:val="22"/>
        </w:rPr>
        <w:t xml:space="preserve"> </w:t>
      </w:r>
      <w:r>
        <w:rPr>
          <w:szCs w:val="22"/>
        </w:rPr>
        <w:t>disbursed, but not collected by depositors with credit institutions at the end of</w:t>
      </w:r>
      <w:r w:rsidRPr="00B34608">
        <w:rPr>
          <w:bCs/>
          <w:szCs w:val="22"/>
          <w:lang w:eastAsia="lt-LT"/>
        </w:rPr>
        <w:t xml:space="preserve"> 2017</w:t>
      </w:r>
      <w:r>
        <w:rPr>
          <w:bCs/>
          <w:szCs w:val="22"/>
          <w:lang w:eastAsia="lt-LT"/>
        </w:rPr>
        <w:t xml:space="preserve"> totalled EUR</w:t>
      </w:r>
      <w:r w:rsidRPr="00B34608">
        <w:rPr>
          <w:bCs/>
          <w:szCs w:val="22"/>
          <w:lang w:eastAsia="lt-LT"/>
        </w:rPr>
        <w:t xml:space="preserve"> 1</w:t>
      </w:r>
      <w:r>
        <w:rPr>
          <w:bCs/>
          <w:szCs w:val="22"/>
          <w:lang w:eastAsia="lt-LT"/>
        </w:rPr>
        <w:t>,</w:t>
      </w:r>
      <w:r w:rsidRPr="00B34608">
        <w:rPr>
          <w:bCs/>
          <w:szCs w:val="22"/>
          <w:lang w:eastAsia="lt-LT"/>
        </w:rPr>
        <w:t>898</w:t>
      </w:r>
      <w:r>
        <w:rPr>
          <w:bCs/>
          <w:szCs w:val="22"/>
          <w:lang w:eastAsia="lt-LT"/>
        </w:rPr>
        <w:t>,</w:t>
      </w:r>
      <w:r w:rsidRPr="00B34608">
        <w:rPr>
          <w:bCs/>
          <w:szCs w:val="22"/>
          <w:lang w:eastAsia="lt-LT"/>
        </w:rPr>
        <w:t>482.</w:t>
      </w:r>
    </w:p>
    <w:p w:rsidR="00D2569B" w:rsidRPr="00B34608" w:rsidRDefault="00D2569B" w:rsidP="00E83C06">
      <w:pPr>
        <w:jc w:val="both"/>
        <w:rPr>
          <w:bCs/>
          <w:szCs w:val="22"/>
          <w:lang w:eastAsia="lt-LT"/>
        </w:rPr>
      </w:pPr>
    </w:p>
    <w:p w:rsidR="00D2569B" w:rsidRPr="00B34608" w:rsidRDefault="00D2569B" w:rsidP="00E83C06">
      <w:pPr>
        <w:jc w:val="both"/>
        <w:rPr>
          <w:i/>
          <w:szCs w:val="22"/>
        </w:rPr>
      </w:pPr>
      <w:r>
        <w:rPr>
          <w:i/>
          <w:szCs w:val="22"/>
        </w:rPr>
        <w:t xml:space="preserve">Table </w:t>
      </w:r>
      <w:r w:rsidRPr="00B34608">
        <w:rPr>
          <w:i/>
          <w:szCs w:val="22"/>
        </w:rPr>
        <w:t xml:space="preserve">6. </w:t>
      </w:r>
      <w:r>
        <w:rPr>
          <w:i/>
          <w:szCs w:val="22"/>
        </w:rPr>
        <w:t>Paid insurance compensations held with credit institutions under payment service agreements</w:t>
      </w:r>
      <w:r w:rsidRPr="00B34608">
        <w:rPr>
          <w:i/>
          <w:szCs w:val="22"/>
        </w:rPr>
        <w:t xml:space="preserve"> (DIMA)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3006"/>
        <w:gridCol w:w="1843"/>
        <w:gridCol w:w="2239"/>
        <w:gridCol w:w="1730"/>
      </w:tblGrid>
      <w:tr w:rsidR="00D2569B" w:rsidRPr="00B34608" w:rsidTr="00C44150">
        <w:tc>
          <w:tcPr>
            <w:tcW w:w="680" w:type="dxa"/>
          </w:tcPr>
          <w:p w:rsidR="00D2569B" w:rsidRPr="00B34608" w:rsidRDefault="00D2569B" w:rsidP="00BC2855">
            <w:pPr>
              <w:jc w:val="center"/>
              <w:rPr>
                <w:b/>
                <w:sz w:val="20"/>
              </w:rPr>
            </w:pPr>
            <w:r>
              <w:rPr>
                <w:b/>
                <w:sz w:val="20"/>
              </w:rPr>
              <w:t>Seq. No</w:t>
            </w:r>
          </w:p>
        </w:tc>
        <w:tc>
          <w:tcPr>
            <w:tcW w:w="3006" w:type="dxa"/>
          </w:tcPr>
          <w:p w:rsidR="00D2569B" w:rsidRPr="00B34608" w:rsidRDefault="00D2569B" w:rsidP="00BC2855">
            <w:pPr>
              <w:jc w:val="center"/>
              <w:rPr>
                <w:b/>
                <w:sz w:val="20"/>
              </w:rPr>
            </w:pPr>
            <w:r>
              <w:rPr>
                <w:b/>
                <w:sz w:val="20"/>
              </w:rPr>
              <w:t>Credit institution</w:t>
            </w:r>
          </w:p>
        </w:tc>
        <w:tc>
          <w:tcPr>
            <w:tcW w:w="1843" w:type="dxa"/>
          </w:tcPr>
          <w:p w:rsidR="00D2569B" w:rsidRDefault="00D2569B" w:rsidP="00BC2855">
            <w:pPr>
              <w:jc w:val="center"/>
              <w:rPr>
                <w:b/>
                <w:sz w:val="20"/>
              </w:rPr>
            </w:pPr>
            <w:r>
              <w:rPr>
                <w:b/>
                <w:sz w:val="20"/>
              </w:rPr>
              <w:t xml:space="preserve">Balance </w:t>
            </w:r>
          </w:p>
          <w:p w:rsidR="00D2569B" w:rsidRPr="00B34608" w:rsidRDefault="00D2569B" w:rsidP="00BC2855">
            <w:pPr>
              <w:jc w:val="center"/>
              <w:rPr>
                <w:b/>
                <w:sz w:val="20"/>
              </w:rPr>
            </w:pPr>
            <w:r>
              <w:rPr>
                <w:b/>
                <w:sz w:val="20"/>
              </w:rPr>
              <w:t xml:space="preserve">as at 31 12 </w:t>
            </w:r>
            <w:r w:rsidRPr="00B34608">
              <w:rPr>
                <w:b/>
                <w:sz w:val="20"/>
              </w:rPr>
              <w:t>2016</w:t>
            </w:r>
          </w:p>
        </w:tc>
        <w:tc>
          <w:tcPr>
            <w:tcW w:w="2239" w:type="dxa"/>
          </w:tcPr>
          <w:p w:rsidR="00D2569B" w:rsidRPr="00B34608" w:rsidRDefault="00D2569B" w:rsidP="00BC2855">
            <w:pPr>
              <w:jc w:val="center"/>
              <w:rPr>
                <w:b/>
                <w:sz w:val="20"/>
              </w:rPr>
            </w:pPr>
            <w:r>
              <w:rPr>
                <w:b/>
                <w:sz w:val="20"/>
              </w:rPr>
              <w:t>Paid</w:t>
            </w:r>
            <w:r w:rsidRPr="00B34608">
              <w:rPr>
                <w:b/>
                <w:sz w:val="20"/>
              </w:rPr>
              <w:t xml:space="preserve"> (</w:t>
            </w:r>
            <w:r>
              <w:rPr>
                <w:b/>
                <w:sz w:val="20"/>
              </w:rPr>
              <w:t>collected</w:t>
            </w:r>
            <w:r w:rsidRPr="00B34608">
              <w:rPr>
                <w:b/>
                <w:sz w:val="20"/>
              </w:rPr>
              <w:t xml:space="preserve">) </w:t>
            </w:r>
            <w:r>
              <w:rPr>
                <w:b/>
                <w:sz w:val="20"/>
              </w:rPr>
              <w:t xml:space="preserve">insurance compensations </w:t>
            </w:r>
          </w:p>
        </w:tc>
        <w:tc>
          <w:tcPr>
            <w:tcW w:w="1730" w:type="dxa"/>
          </w:tcPr>
          <w:p w:rsidR="00D2569B" w:rsidRDefault="00D2569B" w:rsidP="00C44150">
            <w:pPr>
              <w:jc w:val="center"/>
              <w:rPr>
                <w:b/>
                <w:sz w:val="20"/>
              </w:rPr>
            </w:pPr>
            <w:r>
              <w:rPr>
                <w:b/>
                <w:sz w:val="20"/>
              </w:rPr>
              <w:t xml:space="preserve">Balance </w:t>
            </w:r>
          </w:p>
          <w:p w:rsidR="00D2569B" w:rsidRPr="00B34608" w:rsidRDefault="00D2569B" w:rsidP="00C44150">
            <w:pPr>
              <w:jc w:val="center"/>
              <w:rPr>
                <w:b/>
                <w:sz w:val="20"/>
              </w:rPr>
            </w:pPr>
            <w:r>
              <w:rPr>
                <w:b/>
                <w:sz w:val="20"/>
              </w:rPr>
              <w:t xml:space="preserve">as at 31 12 </w:t>
            </w:r>
            <w:r w:rsidRPr="00B34608">
              <w:rPr>
                <w:b/>
                <w:sz w:val="20"/>
              </w:rPr>
              <w:t>2017</w:t>
            </w:r>
          </w:p>
        </w:tc>
      </w:tr>
      <w:tr w:rsidR="00D2569B" w:rsidRPr="00B34608" w:rsidTr="00C44150">
        <w:trPr>
          <w:trHeight w:val="279"/>
        </w:trPr>
        <w:tc>
          <w:tcPr>
            <w:tcW w:w="680" w:type="dxa"/>
            <w:vAlign w:val="bottom"/>
          </w:tcPr>
          <w:p w:rsidR="00D2569B" w:rsidRPr="00B34608" w:rsidRDefault="00D2569B" w:rsidP="00DC37A9">
            <w:pPr>
              <w:jc w:val="center"/>
              <w:rPr>
                <w:sz w:val="20"/>
              </w:rPr>
            </w:pPr>
            <w:r w:rsidRPr="00B34608">
              <w:rPr>
                <w:sz w:val="20"/>
              </w:rPr>
              <w:t>1</w:t>
            </w:r>
          </w:p>
        </w:tc>
        <w:tc>
          <w:tcPr>
            <w:tcW w:w="3006" w:type="dxa"/>
            <w:vAlign w:val="bottom"/>
          </w:tcPr>
          <w:p w:rsidR="00D2569B" w:rsidRPr="00B34608" w:rsidRDefault="00D2569B" w:rsidP="00DC37A9">
            <w:pPr>
              <w:jc w:val="center"/>
              <w:rPr>
                <w:sz w:val="20"/>
              </w:rPr>
            </w:pPr>
            <w:r w:rsidRPr="00B34608">
              <w:rPr>
                <w:sz w:val="20"/>
              </w:rPr>
              <w:t>2</w:t>
            </w:r>
          </w:p>
        </w:tc>
        <w:tc>
          <w:tcPr>
            <w:tcW w:w="1843" w:type="dxa"/>
            <w:vAlign w:val="bottom"/>
          </w:tcPr>
          <w:p w:rsidR="00D2569B" w:rsidRPr="00B34608" w:rsidRDefault="00D2569B" w:rsidP="00DC37A9">
            <w:pPr>
              <w:jc w:val="center"/>
              <w:rPr>
                <w:sz w:val="20"/>
              </w:rPr>
            </w:pPr>
            <w:r w:rsidRPr="00B34608">
              <w:rPr>
                <w:sz w:val="20"/>
              </w:rPr>
              <w:t>3</w:t>
            </w:r>
          </w:p>
        </w:tc>
        <w:tc>
          <w:tcPr>
            <w:tcW w:w="2239" w:type="dxa"/>
            <w:vAlign w:val="bottom"/>
          </w:tcPr>
          <w:p w:rsidR="00D2569B" w:rsidRPr="00B34608" w:rsidRDefault="00D2569B" w:rsidP="00DC37A9">
            <w:pPr>
              <w:jc w:val="center"/>
              <w:rPr>
                <w:sz w:val="20"/>
              </w:rPr>
            </w:pPr>
            <w:r w:rsidRPr="00B34608">
              <w:rPr>
                <w:sz w:val="20"/>
              </w:rPr>
              <w:t>4</w:t>
            </w:r>
          </w:p>
        </w:tc>
        <w:tc>
          <w:tcPr>
            <w:tcW w:w="1730" w:type="dxa"/>
            <w:vAlign w:val="bottom"/>
          </w:tcPr>
          <w:p w:rsidR="00D2569B" w:rsidRPr="00B34608" w:rsidRDefault="00D2569B" w:rsidP="00DC37A9">
            <w:pPr>
              <w:jc w:val="center"/>
              <w:rPr>
                <w:sz w:val="20"/>
              </w:rPr>
            </w:pPr>
            <w:r w:rsidRPr="00B34608">
              <w:rPr>
                <w:sz w:val="20"/>
              </w:rPr>
              <w:t>5</w:t>
            </w:r>
          </w:p>
        </w:tc>
      </w:tr>
      <w:tr w:rsidR="00D2569B" w:rsidRPr="00B34608" w:rsidTr="00C44150">
        <w:trPr>
          <w:trHeight w:val="279"/>
        </w:trPr>
        <w:tc>
          <w:tcPr>
            <w:tcW w:w="680" w:type="dxa"/>
            <w:vAlign w:val="bottom"/>
          </w:tcPr>
          <w:p w:rsidR="00D2569B" w:rsidRPr="00B34608" w:rsidRDefault="00D2569B" w:rsidP="00DC37A9">
            <w:pPr>
              <w:rPr>
                <w:sz w:val="20"/>
              </w:rPr>
            </w:pPr>
            <w:r w:rsidRPr="00B34608">
              <w:rPr>
                <w:sz w:val="20"/>
              </w:rPr>
              <w:t>1.</w:t>
            </w:r>
          </w:p>
        </w:tc>
        <w:tc>
          <w:tcPr>
            <w:tcW w:w="3006" w:type="dxa"/>
            <w:vAlign w:val="bottom"/>
          </w:tcPr>
          <w:p w:rsidR="00D2569B" w:rsidRPr="00B34608" w:rsidRDefault="00D2569B" w:rsidP="006E3E89">
            <w:pPr>
              <w:rPr>
                <w:sz w:val="20"/>
              </w:rPr>
            </w:pPr>
            <w:r w:rsidRPr="00B34608">
              <w:rPr>
                <w:sz w:val="20"/>
              </w:rPr>
              <w:t>B</w:t>
            </w:r>
            <w:r>
              <w:rPr>
                <w:sz w:val="20"/>
              </w:rPr>
              <w:t>CC</w:t>
            </w:r>
            <w:r w:rsidRPr="00B34608">
              <w:rPr>
                <w:sz w:val="20"/>
              </w:rPr>
              <w:t xml:space="preserve"> </w:t>
            </w:r>
            <w:r>
              <w:rPr>
                <w:sz w:val="20"/>
              </w:rPr>
              <w:t>C</w:t>
            </w:r>
            <w:r w:rsidRPr="00B34608">
              <w:rPr>
                <w:sz w:val="20"/>
              </w:rPr>
              <w:t xml:space="preserve">U Vilniaus </w:t>
            </w:r>
            <w:proofErr w:type="spellStart"/>
            <w:r w:rsidRPr="00B34608">
              <w:rPr>
                <w:sz w:val="20"/>
              </w:rPr>
              <w:t>taupomoji</w:t>
            </w:r>
            <w:proofErr w:type="spellEnd"/>
            <w:r w:rsidRPr="00B34608">
              <w:rPr>
                <w:sz w:val="20"/>
              </w:rPr>
              <w:t xml:space="preserve"> </w:t>
            </w:r>
            <w:proofErr w:type="spellStart"/>
            <w:r w:rsidRPr="00B34608">
              <w:rPr>
                <w:sz w:val="20"/>
              </w:rPr>
              <w:t>kasa</w:t>
            </w:r>
            <w:proofErr w:type="spellEnd"/>
          </w:p>
        </w:tc>
        <w:tc>
          <w:tcPr>
            <w:tcW w:w="1843" w:type="dxa"/>
            <w:vAlign w:val="bottom"/>
          </w:tcPr>
          <w:p w:rsidR="00D2569B" w:rsidRPr="00B34608" w:rsidRDefault="00D2569B" w:rsidP="00BC2855">
            <w:pPr>
              <w:jc w:val="right"/>
              <w:rPr>
                <w:sz w:val="20"/>
              </w:rPr>
            </w:pPr>
            <w:r>
              <w:rPr>
                <w:sz w:val="20"/>
              </w:rPr>
              <w:t>308,</w:t>
            </w:r>
            <w:r w:rsidRPr="00B34608">
              <w:rPr>
                <w:sz w:val="20"/>
              </w:rPr>
              <w:t>200</w:t>
            </w:r>
          </w:p>
        </w:tc>
        <w:tc>
          <w:tcPr>
            <w:tcW w:w="2239" w:type="dxa"/>
            <w:vAlign w:val="bottom"/>
          </w:tcPr>
          <w:p w:rsidR="00D2569B" w:rsidRPr="00B34608" w:rsidRDefault="00D2569B" w:rsidP="00BC2855">
            <w:pPr>
              <w:jc w:val="right"/>
              <w:rPr>
                <w:sz w:val="20"/>
              </w:rPr>
            </w:pPr>
            <w:r>
              <w:rPr>
                <w:sz w:val="20"/>
              </w:rPr>
              <w:t>164,</w:t>
            </w:r>
            <w:r w:rsidRPr="00B34608">
              <w:rPr>
                <w:sz w:val="20"/>
              </w:rPr>
              <w:t>614</w:t>
            </w:r>
          </w:p>
        </w:tc>
        <w:tc>
          <w:tcPr>
            <w:tcW w:w="1730" w:type="dxa"/>
            <w:vAlign w:val="bottom"/>
          </w:tcPr>
          <w:p w:rsidR="00D2569B" w:rsidRPr="00B34608" w:rsidRDefault="00D2569B" w:rsidP="00BC2855">
            <w:pPr>
              <w:jc w:val="right"/>
              <w:rPr>
                <w:b/>
                <w:sz w:val="20"/>
              </w:rPr>
            </w:pPr>
            <w:r>
              <w:rPr>
                <w:b/>
                <w:sz w:val="20"/>
              </w:rPr>
              <w:t>151,</w:t>
            </w:r>
            <w:r w:rsidRPr="00B34608">
              <w:rPr>
                <w:b/>
                <w:sz w:val="20"/>
              </w:rPr>
              <w:t>987</w:t>
            </w:r>
          </w:p>
        </w:tc>
      </w:tr>
      <w:tr w:rsidR="00D2569B" w:rsidRPr="00B34608" w:rsidTr="00C44150">
        <w:tc>
          <w:tcPr>
            <w:tcW w:w="680" w:type="dxa"/>
            <w:vAlign w:val="bottom"/>
          </w:tcPr>
          <w:p w:rsidR="00D2569B" w:rsidRPr="00B34608" w:rsidRDefault="00D2569B" w:rsidP="00DC37A9">
            <w:pPr>
              <w:rPr>
                <w:sz w:val="20"/>
              </w:rPr>
            </w:pPr>
            <w:r w:rsidRPr="00B34608">
              <w:rPr>
                <w:sz w:val="20"/>
              </w:rPr>
              <w:t>2.</w:t>
            </w:r>
          </w:p>
        </w:tc>
        <w:tc>
          <w:tcPr>
            <w:tcW w:w="3006" w:type="dxa"/>
            <w:vAlign w:val="bottom"/>
          </w:tcPr>
          <w:p w:rsidR="00D2569B" w:rsidRPr="00B34608" w:rsidRDefault="00D2569B" w:rsidP="006E3E89">
            <w:pPr>
              <w:rPr>
                <w:sz w:val="20"/>
              </w:rPr>
            </w:pPr>
            <w:r w:rsidRPr="00B34608">
              <w:rPr>
                <w:sz w:val="20"/>
              </w:rPr>
              <w:t>B</w:t>
            </w:r>
            <w:r>
              <w:rPr>
                <w:sz w:val="20"/>
              </w:rPr>
              <w:t>CC</w:t>
            </w:r>
            <w:r w:rsidRPr="00B34608">
              <w:rPr>
                <w:sz w:val="20"/>
              </w:rPr>
              <w:t xml:space="preserve"> </w:t>
            </w:r>
            <w:proofErr w:type="spellStart"/>
            <w:r w:rsidRPr="00B34608">
              <w:rPr>
                <w:sz w:val="20"/>
              </w:rPr>
              <w:t>Nacionalinė</w:t>
            </w:r>
            <w:proofErr w:type="spellEnd"/>
            <w:r w:rsidRPr="00B34608">
              <w:rPr>
                <w:sz w:val="20"/>
              </w:rPr>
              <w:t xml:space="preserve"> </w:t>
            </w:r>
            <w:proofErr w:type="spellStart"/>
            <w:r w:rsidRPr="00B34608">
              <w:rPr>
                <w:sz w:val="20"/>
              </w:rPr>
              <w:t>kredito</w:t>
            </w:r>
            <w:proofErr w:type="spellEnd"/>
            <w:r w:rsidRPr="00B34608">
              <w:rPr>
                <w:sz w:val="20"/>
              </w:rPr>
              <w:t xml:space="preserve"> </w:t>
            </w:r>
            <w:proofErr w:type="spellStart"/>
            <w:r w:rsidRPr="00B34608">
              <w:rPr>
                <w:sz w:val="20"/>
              </w:rPr>
              <w:t>unija</w:t>
            </w:r>
            <w:proofErr w:type="spellEnd"/>
          </w:p>
        </w:tc>
        <w:tc>
          <w:tcPr>
            <w:tcW w:w="1843" w:type="dxa"/>
            <w:vAlign w:val="bottom"/>
          </w:tcPr>
          <w:p w:rsidR="00D2569B" w:rsidRPr="00B34608" w:rsidRDefault="00D2569B" w:rsidP="00BC2855">
            <w:pPr>
              <w:jc w:val="right"/>
              <w:rPr>
                <w:sz w:val="20"/>
              </w:rPr>
            </w:pPr>
            <w:r>
              <w:rPr>
                <w:sz w:val="20"/>
              </w:rPr>
              <w:t>43,</w:t>
            </w:r>
            <w:r w:rsidRPr="00B34608">
              <w:rPr>
                <w:sz w:val="20"/>
              </w:rPr>
              <w:t>495</w:t>
            </w:r>
          </w:p>
        </w:tc>
        <w:tc>
          <w:tcPr>
            <w:tcW w:w="2239" w:type="dxa"/>
            <w:vAlign w:val="bottom"/>
          </w:tcPr>
          <w:p w:rsidR="00D2569B" w:rsidRPr="00B34608" w:rsidRDefault="00D2569B" w:rsidP="00BC2855">
            <w:pPr>
              <w:jc w:val="right"/>
              <w:rPr>
                <w:sz w:val="20"/>
              </w:rPr>
            </w:pPr>
          </w:p>
        </w:tc>
        <w:tc>
          <w:tcPr>
            <w:tcW w:w="1730" w:type="dxa"/>
            <w:vAlign w:val="bottom"/>
          </w:tcPr>
          <w:p w:rsidR="00D2569B" w:rsidRPr="00B34608" w:rsidRDefault="00D2569B" w:rsidP="00BC2855">
            <w:pPr>
              <w:jc w:val="right"/>
              <w:rPr>
                <w:b/>
                <w:sz w:val="20"/>
              </w:rPr>
            </w:pPr>
            <w:r>
              <w:rPr>
                <w:b/>
                <w:sz w:val="20"/>
              </w:rPr>
              <w:t>43,</w:t>
            </w:r>
            <w:r w:rsidRPr="00B34608">
              <w:rPr>
                <w:b/>
                <w:sz w:val="20"/>
              </w:rPr>
              <w:t>495</w:t>
            </w:r>
          </w:p>
        </w:tc>
      </w:tr>
      <w:tr w:rsidR="00D2569B" w:rsidRPr="00B34608" w:rsidTr="00C44150">
        <w:tc>
          <w:tcPr>
            <w:tcW w:w="680" w:type="dxa"/>
            <w:vAlign w:val="bottom"/>
          </w:tcPr>
          <w:p w:rsidR="00D2569B" w:rsidRPr="00B34608" w:rsidRDefault="00D2569B" w:rsidP="00DC37A9">
            <w:pPr>
              <w:rPr>
                <w:sz w:val="20"/>
              </w:rPr>
            </w:pPr>
            <w:r w:rsidRPr="00B34608">
              <w:rPr>
                <w:sz w:val="20"/>
              </w:rPr>
              <w:t>3.</w:t>
            </w:r>
          </w:p>
        </w:tc>
        <w:tc>
          <w:tcPr>
            <w:tcW w:w="3006" w:type="dxa"/>
            <w:vAlign w:val="bottom"/>
          </w:tcPr>
          <w:p w:rsidR="00D2569B" w:rsidRPr="00B34608" w:rsidRDefault="00D2569B" w:rsidP="006E3E89">
            <w:pPr>
              <w:rPr>
                <w:sz w:val="20"/>
              </w:rPr>
            </w:pPr>
            <w:r>
              <w:rPr>
                <w:sz w:val="20"/>
              </w:rPr>
              <w:t>BCC C</w:t>
            </w:r>
            <w:r w:rsidRPr="00B34608">
              <w:rPr>
                <w:sz w:val="20"/>
              </w:rPr>
              <w:t xml:space="preserve">U </w:t>
            </w:r>
            <w:proofErr w:type="spellStart"/>
            <w:r w:rsidRPr="00B34608">
              <w:rPr>
                <w:sz w:val="20"/>
              </w:rPr>
              <w:t>Švyturio</w:t>
            </w:r>
            <w:proofErr w:type="spellEnd"/>
            <w:r w:rsidRPr="00B34608">
              <w:rPr>
                <w:sz w:val="20"/>
              </w:rPr>
              <w:t xml:space="preserve"> </w:t>
            </w:r>
            <w:proofErr w:type="spellStart"/>
            <w:r w:rsidRPr="00B34608">
              <w:rPr>
                <w:sz w:val="20"/>
              </w:rPr>
              <w:t>taupomoji</w:t>
            </w:r>
            <w:proofErr w:type="spellEnd"/>
            <w:r w:rsidRPr="00B34608">
              <w:rPr>
                <w:sz w:val="20"/>
              </w:rPr>
              <w:t xml:space="preserve"> </w:t>
            </w:r>
            <w:proofErr w:type="spellStart"/>
            <w:r w:rsidRPr="00B34608">
              <w:rPr>
                <w:sz w:val="20"/>
              </w:rPr>
              <w:t>kasa</w:t>
            </w:r>
            <w:proofErr w:type="spellEnd"/>
          </w:p>
        </w:tc>
        <w:tc>
          <w:tcPr>
            <w:tcW w:w="1843" w:type="dxa"/>
            <w:vAlign w:val="bottom"/>
          </w:tcPr>
          <w:p w:rsidR="00D2569B" w:rsidRPr="00B34608" w:rsidRDefault="00D2569B" w:rsidP="00BC2855">
            <w:pPr>
              <w:jc w:val="right"/>
              <w:rPr>
                <w:sz w:val="20"/>
              </w:rPr>
            </w:pPr>
            <w:r>
              <w:rPr>
                <w:sz w:val="20"/>
              </w:rPr>
              <w:t>4,</w:t>
            </w:r>
            <w:r w:rsidRPr="00B34608">
              <w:rPr>
                <w:sz w:val="20"/>
              </w:rPr>
              <w:t>310</w:t>
            </w:r>
          </w:p>
        </w:tc>
        <w:tc>
          <w:tcPr>
            <w:tcW w:w="2239" w:type="dxa"/>
            <w:vAlign w:val="bottom"/>
          </w:tcPr>
          <w:p w:rsidR="00D2569B" w:rsidRPr="00B34608" w:rsidRDefault="00D2569B" w:rsidP="00BC2855">
            <w:pPr>
              <w:jc w:val="right"/>
              <w:rPr>
                <w:sz w:val="20"/>
              </w:rPr>
            </w:pPr>
            <w:r w:rsidRPr="00B34608">
              <w:rPr>
                <w:sz w:val="20"/>
              </w:rPr>
              <w:t>100</w:t>
            </w:r>
            <w:r>
              <w:rPr>
                <w:sz w:val="20"/>
              </w:rPr>
              <w:t>,</w:t>
            </w:r>
            <w:r w:rsidRPr="00B34608">
              <w:rPr>
                <w:sz w:val="20"/>
              </w:rPr>
              <w:t>000</w:t>
            </w:r>
          </w:p>
        </w:tc>
        <w:tc>
          <w:tcPr>
            <w:tcW w:w="1730" w:type="dxa"/>
            <w:vAlign w:val="bottom"/>
          </w:tcPr>
          <w:p w:rsidR="00D2569B" w:rsidRPr="00B34608" w:rsidRDefault="00D2569B" w:rsidP="00BC2855">
            <w:pPr>
              <w:jc w:val="right"/>
              <w:rPr>
                <w:b/>
                <w:sz w:val="20"/>
              </w:rPr>
            </w:pPr>
            <w:r>
              <w:rPr>
                <w:b/>
                <w:sz w:val="20"/>
              </w:rPr>
              <w:t>4,</w:t>
            </w:r>
            <w:r w:rsidRPr="00B34608">
              <w:rPr>
                <w:b/>
                <w:sz w:val="20"/>
              </w:rPr>
              <w:t>310</w:t>
            </w:r>
          </w:p>
        </w:tc>
      </w:tr>
      <w:tr w:rsidR="00D2569B" w:rsidRPr="00B34608" w:rsidTr="00C44150">
        <w:tc>
          <w:tcPr>
            <w:tcW w:w="680" w:type="dxa"/>
            <w:vAlign w:val="bottom"/>
          </w:tcPr>
          <w:p w:rsidR="00D2569B" w:rsidRPr="00B34608" w:rsidRDefault="00D2569B" w:rsidP="00DC37A9">
            <w:pPr>
              <w:rPr>
                <w:sz w:val="20"/>
              </w:rPr>
            </w:pPr>
            <w:r w:rsidRPr="00B34608">
              <w:rPr>
                <w:sz w:val="20"/>
              </w:rPr>
              <w:t>4.</w:t>
            </w:r>
          </w:p>
        </w:tc>
        <w:tc>
          <w:tcPr>
            <w:tcW w:w="3006" w:type="dxa"/>
            <w:vAlign w:val="bottom"/>
          </w:tcPr>
          <w:p w:rsidR="00D2569B" w:rsidRPr="00B34608" w:rsidRDefault="00D2569B" w:rsidP="006E3E89">
            <w:pPr>
              <w:rPr>
                <w:sz w:val="20"/>
              </w:rPr>
            </w:pPr>
            <w:r w:rsidRPr="00B34608">
              <w:rPr>
                <w:sz w:val="20"/>
              </w:rPr>
              <w:t>B</w:t>
            </w:r>
            <w:r>
              <w:rPr>
                <w:sz w:val="20"/>
              </w:rPr>
              <w:t>C CU</w:t>
            </w:r>
            <w:r w:rsidRPr="00B34608">
              <w:rPr>
                <w:sz w:val="20"/>
              </w:rPr>
              <w:t xml:space="preserve"> </w:t>
            </w:r>
            <w:proofErr w:type="spellStart"/>
            <w:r w:rsidRPr="00B34608">
              <w:rPr>
                <w:sz w:val="20"/>
              </w:rPr>
              <w:t>Laikinosios</w:t>
            </w:r>
            <w:proofErr w:type="spellEnd"/>
            <w:r w:rsidRPr="00B34608">
              <w:rPr>
                <w:sz w:val="20"/>
              </w:rPr>
              <w:t xml:space="preserve"> </w:t>
            </w:r>
            <w:proofErr w:type="spellStart"/>
            <w:r w:rsidRPr="00B34608">
              <w:rPr>
                <w:sz w:val="20"/>
              </w:rPr>
              <w:t>sostinės</w:t>
            </w:r>
            <w:proofErr w:type="spellEnd"/>
            <w:r w:rsidRPr="00B34608">
              <w:rPr>
                <w:sz w:val="20"/>
              </w:rPr>
              <w:t xml:space="preserve"> </w:t>
            </w:r>
            <w:proofErr w:type="spellStart"/>
            <w:r w:rsidRPr="00B34608">
              <w:rPr>
                <w:sz w:val="20"/>
              </w:rPr>
              <w:t>kreditas</w:t>
            </w:r>
            <w:proofErr w:type="spellEnd"/>
          </w:p>
        </w:tc>
        <w:tc>
          <w:tcPr>
            <w:tcW w:w="1843" w:type="dxa"/>
            <w:vAlign w:val="bottom"/>
          </w:tcPr>
          <w:p w:rsidR="00D2569B" w:rsidRPr="00B34608" w:rsidRDefault="00D2569B" w:rsidP="00BC2855">
            <w:pPr>
              <w:jc w:val="right"/>
              <w:rPr>
                <w:sz w:val="20"/>
              </w:rPr>
            </w:pPr>
            <w:r>
              <w:rPr>
                <w:sz w:val="20"/>
              </w:rPr>
              <w:t>18,</w:t>
            </w:r>
            <w:r w:rsidRPr="00B34608">
              <w:rPr>
                <w:sz w:val="20"/>
              </w:rPr>
              <w:t>469</w:t>
            </w:r>
          </w:p>
        </w:tc>
        <w:tc>
          <w:tcPr>
            <w:tcW w:w="2239" w:type="dxa"/>
            <w:vAlign w:val="bottom"/>
          </w:tcPr>
          <w:p w:rsidR="00D2569B" w:rsidRPr="00B34608" w:rsidRDefault="00D2569B" w:rsidP="00BC2855">
            <w:pPr>
              <w:jc w:val="right"/>
              <w:rPr>
                <w:sz w:val="20"/>
              </w:rPr>
            </w:pPr>
            <w:r>
              <w:rPr>
                <w:sz w:val="20"/>
              </w:rPr>
              <w:t>7,</w:t>
            </w:r>
            <w:r w:rsidRPr="00B34608">
              <w:rPr>
                <w:sz w:val="20"/>
              </w:rPr>
              <w:t>701</w:t>
            </w:r>
          </w:p>
        </w:tc>
        <w:tc>
          <w:tcPr>
            <w:tcW w:w="1730" w:type="dxa"/>
            <w:vAlign w:val="bottom"/>
          </w:tcPr>
          <w:p w:rsidR="00D2569B" w:rsidRPr="00B34608" w:rsidRDefault="00D2569B" w:rsidP="00BC2855">
            <w:pPr>
              <w:jc w:val="right"/>
              <w:rPr>
                <w:b/>
                <w:sz w:val="20"/>
              </w:rPr>
            </w:pPr>
            <w:r>
              <w:rPr>
                <w:b/>
                <w:sz w:val="20"/>
              </w:rPr>
              <w:t>10,</w:t>
            </w:r>
            <w:r w:rsidRPr="00B34608">
              <w:rPr>
                <w:b/>
                <w:sz w:val="20"/>
              </w:rPr>
              <w:t>767</w:t>
            </w:r>
          </w:p>
        </w:tc>
      </w:tr>
      <w:tr w:rsidR="00D2569B" w:rsidRPr="00B34608" w:rsidTr="00C44150">
        <w:trPr>
          <w:trHeight w:val="369"/>
        </w:trPr>
        <w:tc>
          <w:tcPr>
            <w:tcW w:w="680" w:type="dxa"/>
            <w:vAlign w:val="bottom"/>
          </w:tcPr>
          <w:p w:rsidR="00D2569B" w:rsidRPr="00B34608" w:rsidRDefault="00D2569B" w:rsidP="00DC37A9">
            <w:pPr>
              <w:rPr>
                <w:sz w:val="20"/>
              </w:rPr>
            </w:pPr>
            <w:r w:rsidRPr="00B34608">
              <w:rPr>
                <w:sz w:val="20"/>
              </w:rPr>
              <w:t>5.</w:t>
            </w:r>
          </w:p>
        </w:tc>
        <w:tc>
          <w:tcPr>
            <w:tcW w:w="3006" w:type="dxa"/>
            <w:vAlign w:val="bottom"/>
          </w:tcPr>
          <w:p w:rsidR="00D2569B" w:rsidRPr="00B34608" w:rsidRDefault="00D2569B" w:rsidP="006E3E89">
            <w:pPr>
              <w:rPr>
                <w:sz w:val="20"/>
              </w:rPr>
            </w:pPr>
            <w:r w:rsidRPr="00B34608">
              <w:rPr>
                <w:sz w:val="20"/>
              </w:rPr>
              <w:t>B</w:t>
            </w:r>
            <w:r>
              <w:rPr>
                <w:sz w:val="20"/>
              </w:rPr>
              <w:t>C</w:t>
            </w:r>
            <w:r w:rsidRPr="00B34608">
              <w:rPr>
                <w:sz w:val="20"/>
              </w:rPr>
              <w:t xml:space="preserve">U </w:t>
            </w:r>
            <w:proofErr w:type="spellStart"/>
            <w:r w:rsidRPr="00B34608">
              <w:rPr>
                <w:sz w:val="20"/>
              </w:rPr>
              <w:t>Naftininkų</w:t>
            </w:r>
            <w:proofErr w:type="spellEnd"/>
            <w:r w:rsidRPr="00B34608">
              <w:rPr>
                <w:sz w:val="20"/>
              </w:rPr>
              <w:t xml:space="preserve"> </w:t>
            </w:r>
            <w:proofErr w:type="spellStart"/>
            <w:r w:rsidRPr="00B34608">
              <w:rPr>
                <w:sz w:val="20"/>
              </w:rPr>
              <w:t>investicijos</w:t>
            </w:r>
            <w:proofErr w:type="spellEnd"/>
          </w:p>
        </w:tc>
        <w:tc>
          <w:tcPr>
            <w:tcW w:w="1843" w:type="dxa"/>
            <w:vAlign w:val="bottom"/>
          </w:tcPr>
          <w:p w:rsidR="00D2569B" w:rsidRPr="00B34608" w:rsidRDefault="00D2569B" w:rsidP="00BC2855">
            <w:pPr>
              <w:jc w:val="right"/>
              <w:rPr>
                <w:sz w:val="20"/>
              </w:rPr>
            </w:pPr>
            <w:r w:rsidRPr="00B34608">
              <w:rPr>
                <w:sz w:val="20"/>
              </w:rPr>
              <w:t>19</w:t>
            </w:r>
          </w:p>
        </w:tc>
        <w:tc>
          <w:tcPr>
            <w:tcW w:w="2239" w:type="dxa"/>
            <w:vAlign w:val="bottom"/>
          </w:tcPr>
          <w:p w:rsidR="00D2569B" w:rsidRPr="00B34608" w:rsidRDefault="00D2569B" w:rsidP="00BC2855">
            <w:pPr>
              <w:jc w:val="right"/>
              <w:rPr>
                <w:sz w:val="20"/>
              </w:rPr>
            </w:pPr>
          </w:p>
        </w:tc>
        <w:tc>
          <w:tcPr>
            <w:tcW w:w="1730" w:type="dxa"/>
            <w:vAlign w:val="bottom"/>
          </w:tcPr>
          <w:p w:rsidR="00D2569B" w:rsidRPr="00B34608" w:rsidRDefault="00D2569B" w:rsidP="00BC2855">
            <w:pPr>
              <w:jc w:val="right"/>
              <w:rPr>
                <w:b/>
                <w:sz w:val="20"/>
              </w:rPr>
            </w:pPr>
            <w:r w:rsidRPr="00B34608">
              <w:rPr>
                <w:b/>
                <w:sz w:val="20"/>
              </w:rPr>
              <w:t>19</w:t>
            </w:r>
          </w:p>
        </w:tc>
      </w:tr>
      <w:tr w:rsidR="00D2569B" w:rsidRPr="00B34608" w:rsidTr="00C44150">
        <w:trPr>
          <w:trHeight w:val="285"/>
        </w:trPr>
        <w:tc>
          <w:tcPr>
            <w:tcW w:w="680" w:type="dxa"/>
            <w:vAlign w:val="bottom"/>
          </w:tcPr>
          <w:p w:rsidR="00D2569B" w:rsidRPr="00B34608" w:rsidRDefault="00D2569B" w:rsidP="00DC37A9">
            <w:pPr>
              <w:rPr>
                <w:sz w:val="20"/>
              </w:rPr>
            </w:pPr>
            <w:r w:rsidRPr="00B34608">
              <w:rPr>
                <w:sz w:val="20"/>
              </w:rPr>
              <w:t>6.</w:t>
            </w:r>
          </w:p>
        </w:tc>
        <w:tc>
          <w:tcPr>
            <w:tcW w:w="3006" w:type="dxa"/>
            <w:vAlign w:val="bottom"/>
          </w:tcPr>
          <w:p w:rsidR="00D2569B" w:rsidRPr="00B34608" w:rsidRDefault="00D2569B" w:rsidP="006E3E89">
            <w:pPr>
              <w:rPr>
                <w:sz w:val="20"/>
              </w:rPr>
            </w:pPr>
            <w:r>
              <w:rPr>
                <w:sz w:val="20"/>
              </w:rPr>
              <w:t>BC</w:t>
            </w:r>
            <w:r w:rsidRPr="00B34608">
              <w:rPr>
                <w:sz w:val="20"/>
              </w:rPr>
              <w:t>U Amber</w:t>
            </w:r>
          </w:p>
        </w:tc>
        <w:tc>
          <w:tcPr>
            <w:tcW w:w="1843" w:type="dxa"/>
            <w:vAlign w:val="bottom"/>
          </w:tcPr>
          <w:p w:rsidR="00D2569B" w:rsidRPr="00B34608" w:rsidRDefault="00D2569B" w:rsidP="00BC2855">
            <w:pPr>
              <w:jc w:val="right"/>
              <w:rPr>
                <w:sz w:val="20"/>
              </w:rPr>
            </w:pPr>
            <w:r>
              <w:rPr>
                <w:sz w:val="20"/>
              </w:rPr>
              <w:t>1,</w:t>
            </w:r>
            <w:r w:rsidRPr="00B34608">
              <w:rPr>
                <w:sz w:val="20"/>
              </w:rPr>
              <w:t>523</w:t>
            </w:r>
            <w:r>
              <w:rPr>
                <w:sz w:val="20"/>
              </w:rPr>
              <w:t>,</w:t>
            </w:r>
            <w:r w:rsidRPr="00B34608">
              <w:rPr>
                <w:sz w:val="20"/>
              </w:rPr>
              <w:t>989</w:t>
            </w:r>
          </w:p>
        </w:tc>
        <w:tc>
          <w:tcPr>
            <w:tcW w:w="2239" w:type="dxa"/>
            <w:vAlign w:val="bottom"/>
          </w:tcPr>
          <w:p w:rsidR="00D2569B" w:rsidRPr="00B34608" w:rsidRDefault="00D2569B" w:rsidP="00BC2855">
            <w:pPr>
              <w:jc w:val="right"/>
              <w:rPr>
                <w:sz w:val="20"/>
              </w:rPr>
            </w:pPr>
            <w:r>
              <w:rPr>
                <w:sz w:val="20"/>
              </w:rPr>
              <w:t>1,</w:t>
            </w:r>
            <w:r w:rsidRPr="00B34608">
              <w:rPr>
                <w:sz w:val="20"/>
              </w:rPr>
              <w:t>155</w:t>
            </w:r>
            <w:r>
              <w:rPr>
                <w:sz w:val="20"/>
              </w:rPr>
              <w:t>,</w:t>
            </w:r>
            <w:r w:rsidRPr="00B34608">
              <w:rPr>
                <w:sz w:val="20"/>
              </w:rPr>
              <w:t>409</w:t>
            </w:r>
          </w:p>
        </w:tc>
        <w:tc>
          <w:tcPr>
            <w:tcW w:w="1730" w:type="dxa"/>
            <w:vAlign w:val="bottom"/>
          </w:tcPr>
          <w:p w:rsidR="00D2569B" w:rsidRPr="00B34608" w:rsidRDefault="00D2569B" w:rsidP="00BC2855">
            <w:pPr>
              <w:jc w:val="right"/>
              <w:rPr>
                <w:b/>
                <w:sz w:val="20"/>
              </w:rPr>
            </w:pPr>
            <w:r>
              <w:rPr>
                <w:b/>
                <w:sz w:val="20"/>
              </w:rPr>
              <w:t>368,</w:t>
            </w:r>
            <w:r w:rsidRPr="00B34608">
              <w:rPr>
                <w:b/>
                <w:sz w:val="20"/>
              </w:rPr>
              <w:t>580</w:t>
            </w:r>
          </w:p>
        </w:tc>
      </w:tr>
      <w:tr w:rsidR="00D2569B" w:rsidRPr="00B34608" w:rsidTr="00C44150">
        <w:trPr>
          <w:trHeight w:val="275"/>
        </w:trPr>
        <w:tc>
          <w:tcPr>
            <w:tcW w:w="680" w:type="dxa"/>
            <w:vAlign w:val="bottom"/>
          </w:tcPr>
          <w:p w:rsidR="00D2569B" w:rsidRPr="00B34608" w:rsidRDefault="00D2569B" w:rsidP="00DC37A9">
            <w:pPr>
              <w:rPr>
                <w:sz w:val="20"/>
              </w:rPr>
            </w:pPr>
            <w:r w:rsidRPr="00B34608">
              <w:rPr>
                <w:sz w:val="20"/>
              </w:rPr>
              <w:t>7.</w:t>
            </w:r>
          </w:p>
        </w:tc>
        <w:tc>
          <w:tcPr>
            <w:tcW w:w="3006" w:type="dxa"/>
            <w:vAlign w:val="bottom"/>
          </w:tcPr>
          <w:p w:rsidR="00D2569B" w:rsidRPr="00B34608" w:rsidRDefault="00D2569B" w:rsidP="006E3E89">
            <w:pPr>
              <w:rPr>
                <w:sz w:val="20"/>
              </w:rPr>
            </w:pPr>
            <w:r w:rsidRPr="00B34608">
              <w:rPr>
                <w:sz w:val="20"/>
              </w:rPr>
              <w:t>B</w:t>
            </w:r>
            <w:r>
              <w:rPr>
                <w:sz w:val="20"/>
              </w:rPr>
              <w:t>C</w:t>
            </w:r>
            <w:r w:rsidRPr="00B34608">
              <w:rPr>
                <w:sz w:val="20"/>
              </w:rPr>
              <w:t xml:space="preserve">U </w:t>
            </w:r>
            <w:proofErr w:type="spellStart"/>
            <w:r w:rsidRPr="00B34608">
              <w:rPr>
                <w:sz w:val="20"/>
              </w:rPr>
              <w:t>Namų</w:t>
            </w:r>
            <w:proofErr w:type="spellEnd"/>
            <w:r w:rsidRPr="00B34608">
              <w:rPr>
                <w:sz w:val="20"/>
              </w:rPr>
              <w:t xml:space="preserve"> </w:t>
            </w:r>
          </w:p>
        </w:tc>
        <w:tc>
          <w:tcPr>
            <w:tcW w:w="1843" w:type="dxa"/>
            <w:vAlign w:val="bottom"/>
          </w:tcPr>
          <w:p w:rsidR="00D2569B" w:rsidRPr="00B34608" w:rsidRDefault="00D2569B" w:rsidP="00BC2855">
            <w:pPr>
              <w:jc w:val="right"/>
              <w:rPr>
                <w:sz w:val="20"/>
              </w:rPr>
            </w:pPr>
            <w:r w:rsidRPr="00B34608">
              <w:rPr>
                <w:sz w:val="20"/>
              </w:rPr>
              <w:t>-</w:t>
            </w:r>
          </w:p>
        </w:tc>
        <w:tc>
          <w:tcPr>
            <w:tcW w:w="2239" w:type="dxa"/>
            <w:vAlign w:val="bottom"/>
          </w:tcPr>
          <w:p w:rsidR="00D2569B" w:rsidRPr="00B34608" w:rsidRDefault="00D2569B" w:rsidP="00BC2855">
            <w:pPr>
              <w:jc w:val="right"/>
              <w:rPr>
                <w:sz w:val="20"/>
              </w:rPr>
            </w:pPr>
            <w:r>
              <w:rPr>
                <w:sz w:val="20"/>
              </w:rPr>
              <w:t>1,</w:t>
            </w:r>
            <w:r w:rsidRPr="00B34608">
              <w:rPr>
                <w:sz w:val="20"/>
              </w:rPr>
              <w:t>092</w:t>
            </w:r>
            <w:r>
              <w:rPr>
                <w:sz w:val="20"/>
              </w:rPr>
              <w:t>,</w:t>
            </w:r>
            <w:r w:rsidRPr="00B34608">
              <w:rPr>
                <w:sz w:val="20"/>
              </w:rPr>
              <w:t>998</w:t>
            </w:r>
          </w:p>
        </w:tc>
        <w:tc>
          <w:tcPr>
            <w:tcW w:w="1730" w:type="dxa"/>
            <w:vAlign w:val="bottom"/>
          </w:tcPr>
          <w:p w:rsidR="00D2569B" w:rsidRPr="00B34608" w:rsidRDefault="00D2569B" w:rsidP="00BC2855">
            <w:pPr>
              <w:jc w:val="right"/>
              <w:rPr>
                <w:b/>
                <w:sz w:val="20"/>
              </w:rPr>
            </w:pPr>
            <w:r>
              <w:rPr>
                <w:b/>
                <w:sz w:val="20"/>
              </w:rPr>
              <w:t>288,</w:t>
            </w:r>
            <w:r w:rsidRPr="00B34608">
              <w:rPr>
                <w:b/>
                <w:sz w:val="20"/>
              </w:rPr>
              <w:t>275</w:t>
            </w:r>
          </w:p>
        </w:tc>
      </w:tr>
      <w:tr w:rsidR="00D2569B" w:rsidRPr="00B34608" w:rsidTr="00C44150">
        <w:trPr>
          <w:trHeight w:val="279"/>
        </w:trPr>
        <w:tc>
          <w:tcPr>
            <w:tcW w:w="680" w:type="dxa"/>
            <w:vAlign w:val="bottom"/>
          </w:tcPr>
          <w:p w:rsidR="00D2569B" w:rsidRPr="00B34608" w:rsidRDefault="00D2569B" w:rsidP="00DC37A9">
            <w:pPr>
              <w:rPr>
                <w:sz w:val="20"/>
              </w:rPr>
            </w:pPr>
            <w:r w:rsidRPr="00B34608">
              <w:rPr>
                <w:sz w:val="20"/>
              </w:rPr>
              <w:t>8.</w:t>
            </w:r>
          </w:p>
        </w:tc>
        <w:tc>
          <w:tcPr>
            <w:tcW w:w="3006" w:type="dxa"/>
            <w:vAlign w:val="bottom"/>
          </w:tcPr>
          <w:p w:rsidR="00D2569B" w:rsidRPr="00B34608" w:rsidRDefault="00D2569B" w:rsidP="006E3E89">
            <w:pPr>
              <w:rPr>
                <w:sz w:val="20"/>
              </w:rPr>
            </w:pPr>
            <w:r>
              <w:rPr>
                <w:sz w:val="20"/>
              </w:rPr>
              <w:t>BC</w:t>
            </w:r>
            <w:r w:rsidRPr="00B34608">
              <w:rPr>
                <w:sz w:val="20"/>
              </w:rPr>
              <w:t xml:space="preserve">U </w:t>
            </w:r>
            <w:proofErr w:type="spellStart"/>
            <w:r w:rsidRPr="00B34608">
              <w:rPr>
                <w:sz w:val="20"/>
              </w:rPr>
              <w:t>Žemaitijos</w:t>
            </w:r>
            <w:proofErr w:type="spellEnd"/>
            <w:r w:rsidRPr="00B34608">
              <w:rPr>
                <w:sz w:val="20"/>
              </w:rPr>
              <w:t xml:space="preserve"> </w:t>
            </w:r>
            <w:proofErr w:type="spellStart"/>
            <w:r w:rsidRPr="00B34608">
              <w:rPr>
                <w:sz w:val="20"/>
              </w:rPr>
              <w:t>iždas</w:t>
            </w:r>
            <w:proofErr w:type="spellEnd"/>
          </w:p>
        </w:tc>
        <w:tc>
          <w:tcPr>
            <w:tcW w:w="1843" w:type="dxa"/>
            <w:vAlign w:val="bottom"/>
          </w:tcPr>
          <w:p w:rsidR="00D2569B" w:rsidRPr="00B34608" w:rsidRDefault="00D2569B" w:rsidP="00BC2855">
            <w:pPr>
              <w:jc w:val="right"/>
              <w:rPr>
                <w:sz w:val="20"/>
              </w:rPr>
            </w:pPr>
            <w:r w:rsidRPr="00B34608">
              <w:rPr>
                <w:sz w:val="20"/>
              </w:rPr>
              <w:t>-</w:t>
            </w:r>
          </w:p>
        </w:tc>
        <w:tc>
          <w:tcPr>
            <w:tcW w:w="2239" w:type="dxa"/>
            <w:vAlign w:val="bottom"/>
          </w:tcPr>
          <w:p w:rsidR="00D2569B" w:rsidRPr="00B34608" w:rsidRDefault="00D2569B" w:rsidP="00BC2855">
            <w:pPr>
              <w:jc w:val="right"/>
              <w:rPr>
                <w:sz w:val="20"/>
              </w:rPr>
            </w:pPr>
            <w:r w:rsidRPr="00B34608">
              <w:rPr>
                <w:sz w:val="20"/>
              </w:rPr>
              <w:t>1</w:t>
            </w:r>
            <w:r>
              <w:rPr>
                <w:sz w:val="20"/>
              </w:rPr>
              <w:t>,</w:t>
            </w:r>
            <w:r w:rsidRPr="00B34608">
              <w:rPr>
                <w:sz w:val="20"/>
              </w:rPr>
              <w:t>630</w:t>
            </w:r>
            <w:r>
              <w:rPr>
                <w:sz w:val="20"/>
              </w:rPr>
              <w:t>,</w:t>
            </w:r>
            <w:r w:rsidRPr="00B34608">
              <w:rPr>
                <w:sz w:val="20"/>
              </w:rPr>
              <w:t>535</w:t>
            </w:r>
          </w:p>
        </w:tc>
        <w:tc>
          <w:tcPr>
            <w:tcW w:w="1730" w:type="dxa"/>
            <w:vAlign w:val="bottom"/>
          </w:tcPr>
          <w:p w:rsidR="00D2569B" w:rsidRPr="00B34608" w:rsidRDefault="00D2569B" w:rsidP="00BC2855">
            <w:pPr>
              <w:jc w:val="right"/>
              <w:rPr>
                <w:b/>
                <w:sz w:val="20"/>
              </w:rPr>
            </w:pPr>
            <w:r>
              <w:rPr>
                <w:b/>
                <w:sz w:val="20"/>
              </w:rPr>
              <w:t>4,</w:t>
            </w:r>
            <w:r w:rsidRPr="00B34608">
              <w:rPr>
                <w:b/>
                <w:sz w:val="20"/>
              </w:rPr>
              <w:t>085</w:t>
            </w:r>
          </w:p>
        </w:tc>
      </w:tr>
      <w:tr w:rsidR="00D2569B" w:rsidRPr="00B34608" w:rsidTr="00C44150">
        <w:trPr>
          <w:trHeight w:val="326"/>
        </w:trPr>
        <w:tc>
          <w:tcPr>
            <w:tcW w:w="680" w:type="dxa"/>
            <w:vAlign w:val="bottom"/>
          </w:tcPr>
          <w:p w:rsidR="00D2569B" w:rsidRPr="00B34608" w:rsidRDefault="00D2569B" w:rsidP="00DC37A9">
            <w:pPr>
              <w:rPr>
                <w:sz w:val="20"/>
              </w:rPr>
            </w:pPr>
            <w:r w:rsidRPr="00B34608">
              <w:rPr>
                <w:sz w:val="20"/>
              </w:rPr>
              <w:t>9.</w:t>
            </w:r>
          </w:p>
        </w:tc>
        <w:tc>
          <w:tcPr>
            <w:tcW w:w="3006" w:type="dxa"/>
            <w:vAlign w:val="bottom"/>
          </w:tcPr>
          <w:p w:rsidR="00D2569B" w:rsidRPr="00B34608" w:rsidRDefault="00D2569B" w:rsidP="006E3E89">
            <w:pPr>
              <w:rPr>
                <w:sz w:val="20"/>
              </w:rPr>
            </w:pPr>
            <w:r>
              <w:rPr>
                <w:sz w:val="20"/>
              </w:rPr>
              <w:t>BC</w:t>
            </w:r>
            <w:r w:rsidRPr="00B34608">
              <w:rPr>
                <w:sz w:val="20"/>
              </w:rPr>
              <w:t xml:space="preserve">U </w:t>
            </w:r>
            <w:proofErr w:type="spellStart"/>
            <w:r w:rsidRPr="00B34608">
              <w:rPr>
                <w:sz w:val="20"/>
              </w:rPr>
              <w:t>Baltija</w:t>
            </w:r>
            <w:proofErr w:type="spellEnd"/>
          </w:p>
        </w:tc>
        <w:tc>
          <w:tcPr>
            <w:tcW w:w="1843" w:type="dxa"/>
            <w:vAlign w:val="bottom"/>
          </w:tcPr>
          <w:p w:rsidR="00D2569B" w:rsidRPr="00B34608" w:rsidRDefault="00D2569B" w:rsidP="00BC2855">
            <w:pPr>
              <w:jc w:val="right"/>
              <w:rPr>
                <w:sz w:val="20"/>
              </w:rPr>
            </w:pPr>
            <w:r w:rsidRPr="00B34608">
              <w:rPr>
                <w:sz w:val="20"/>
              </w:rPr>
              <w:t>-</w:t>
            </w:r>
          </w:p>
        </w:tc>
        <w:tc>
          <w:tcPr>
            <w:tcW w:w="2239" w:type="dxa"/>
            <w:vAlign w:val="bottom"/>
          </w:tcPr>
          <w:p w:rsidR="00D2569B" w:rsidRPr="00B34608" w:rsidRDefault="00D2569B" w:rsidP="0055463B">
            <w:pPr>
              <w:jc w:val="right"/>
              <w:rPr>
                <w:sz w:val="20"/>
              </w:rPr>
            </w:pPr>
            <w:r>
              <w:rPr>
                <w:sz w:val="20"/>
              </w:rPr>
              <w:t>10,</w:t>
            </w:r>
            <w:r w:rsidRPr="00B34608">
              <w:rPr>
                <w:sz w:val="20"/>
              </w:rPr>
              <w:t>342</w:t>
            </w:r>
            <w:r>
              <w:rPr>
                <w:sz w:val="20"/>
              </w:rPr>
              <w:t>,</w:t>
            </w:r>
            <w:r w:rsidRPr="00B34608">
              <w:rPr>
                <w:sz w:val="20"/>
              </w:rPr>
              <w:t xml:space="preserve">623  </w:t>
            </w:r>
          </w:p>
          <w:p w:rsidR="00D2569B" w:rsidRPr="00B34608" w:rsidRDefault="00D2569B" w:rsidP="00BC2855">
            <w:pPr>
              <w:jc w:val="right"/>
              <w:rPr>
                <w:sz w:val="20"/>
              </w:rPr>
            </w:pPr>
          </w:p>
        </w:tc>
        <w:tc>
          <w:tcPr>
            <w:tcW w:w="1730" w:type="dxa"/>
            <w:vAlign w:val="bottom"/>
          </w:tcPr>
          <w:p w:rsidR="00D2569B" w:rsidRPr="00B34608" w:rsidRDefault="00D2569B" w:rsidP="00BC2855">
            <w:pPr>
              <w:jc w:val="right"/>
              <w:rPr>
                <w:b/>
                <w:sz w:val="20"/>
              </w:rPr>
            </w:pPr>
            <w:r>
              <w:rPr>
                <w:b/>
                <w:sz w:val="20"/>
              </w:rPr>
              <w:t>1,178,</w:t>
            </w:r>
            <w:r w:rsidRPr="00B34608">
              <w:rPr>
                <w:b/>
                <w:sz w:val="20"/>
              </w:rPr>
              <w:t>136</w:t>
            </w:r>
          </w:p>
        </w:tc>
      </w:tr>
      <w:tr w:rsidR="00D2569B" w:rsidRPr="00B34608" w:rsidTr="00C44150">
        <w:trPr>
          <w:trHeight w:val="401"/>
        </w:trPr>
        <w:tc>
          <w:tcPr>
            <w:tcW w:w="680" w:type="dxa"/>
            <w:vAlign w:val="bottom"/>
          </w:tcPr>
          <w:p w:rsidR="00D2569B" w:rsidRPr="00B34608" w:rsidRDefault="00D2569B" w:rsidP="00DC37A9">
            <w:pPr>
              <w:rPr>
                <w:sz w:val="20"/>
              </w:rPr>
            </w:pPr>
            <w:r w:rsidRPr="00B34608">
              <w:rPr>
                <w:sz w:val="20"/>
              </w:rPr>
              <w:t>10.</w:t>
            </w:r>
          </w:p>
        </w:tc>
        <w:tc>
          <w:tcPr>
            <w:tcW w:w="3006" w:type="dxa"/>
            <w:vAlign w:val="bottom"/>
          </w:tcPr>
          <w:p w:rsidR="00D2569B" w:rsidRPr="00B34608" w:rsidRDefault="00D2569B" w:rsidP="006E3E89">
            <w:pPr>
              <w:rPr>
                <w:sz w:val="20"/>
              </w:rPr>
            </w:pPr>
            <w:r>
              <w:rPr>
                <w:sz w:val="20"/>
              </w:rPr>
              <w:t>BC</w:t>
            </w:r>
            <w:r w:rsidRPr="00B34608">
              <w:rPr>
                <w:sz w:val="20"/>
              </w:rPr>
              <w:t xml:space="preserve">U </w:t>
            </w:r>
            <w:proofErr w:type="spellStart"/>
            <w:r w:rsidRPr="00B34608">
              <w:rPr>
                <w:sz w:val="20"/>
              </w:rPr>
              <w:t>Pajūrio</w:t>
            </w:r>
            <w:proofErr w:type="spellEnd"/>
          </w:p>
        </w:tc>
        <w:tc>
          <w:tcPr>
            <w:tcW w:w="1843" w:type="dxa"/>
            <w:vAlign w:val="bottom"/>
          </w:tcPr>
          <w:p w:rsidR="00D2569B" w:rsidRPr="00B34608" w:rsidRDefault="00D2569B" w:rsidP="00BC2855">
            <w:pPr>
              <w:jc w:val="right"/>
              <w:rPr>
                <w:sz w:val="20"/>
              </w:rPr>
            </w:pPr>
            <w:r w:rsidRPr="00B34608">
              <w:rPr>
                <w:sz w:val="20"/>
              </w:rPr>
              <w:t>-</w:t>
            </w:r>
          </w:p>
        </w:tc>
        <w:tc>
          <w:tcPr>
            <w:tcW w:w="2239" w:type="dxa"/>
            <w:vAlign w:val="bottom"/>
          </w:tcPr>
          <w:p w:rsidR="00D2569B" w:rsidRPr="00B34608" w:rsidRDefault="00D2569B" w:rsidP="00BC2855">
            <w:pPr>
              <w:jc w:val="right"/>
              <w:rPr>
                <w:sz w:val="20"/>
              </w:rPr>
            </w:pPr>
            <w:r>
              <w:rPr>
                <w:sz w:val="20"/>
              </w:rPr>
              <w:t>2,</w:t>
            </w:r>
            <w:r w:rsidRPr="00B34608">
              <w:rPr>
                <w:sz w:val="20"/>
              </w:rPr>
              <w:t>054</w:t>
            </w:r>
            <w:r>
              <w:rPr>
                <w:sz w:val="20"/>
              </w:rPr>
              <w:t>,</w:t>
            </w:r>
            <w:r w:rsidRPr="00B34608">
              <w:rPr>
                <w:sz w:val="20"/>
              </w:rPr>
              <w:t>753</w:t>
            </w:r>
          </w:p>
        </w:tc>
        <w:tc>
          <w:tcPr>
            <w:tcW w:w="1730" w:type="dxa"/>
            <w:vAlign w:val="bottom"/>
          </w:tcPr>
          <w:p w:rsidR="00D2569B" w:rsidRPr="00B34608" w:rsidRDefault="00D2569B" w:rsidP="00BC2855">
            <w:pPr>
              <w:jc w:val="right"/>
              <w:rPr>
                <w:b/>
                <w:sz w:val="20"/>
              </w:rPr>
            </w:pPr>
            <w:r w:rsidRPr="00B34608">
              <w:rPr>
                <w:b/>
                <w:sz w:val="20"/>
              </w:rPr>
              <w:t>93</w:t>
            </w:r>
            <w:r>
              <w:rPr>
                <w:b/>
                <w:sz w:val="20"/>
              </w:rPr>
              <w:t>,</w:t>
            </w:r>
            <w:r w:rsidRPr="00B34608">
              <w:rPr>
                <w:b/>
                <w:sz w:val="20"/>
              </w:rPr>
              <w:t>129</w:t>
            </w:r>
          </w:p>
        </w:tc>
      </w:tr>
      <w:tr w:rsidR="00D2569B" w:rsidRPr="00B34608" w:rsidTr="00C44150">
        <w:trPr>
          <w:trHeight w:val="421"/>
        </w:trPr>
        <w:tc>
          <w:tcPr>
            <w:tcW w:w="680" w:type="dxa"/>
            <w:vAlign w:val="bottom"/>
          </w:tcPr>
          <w:p w:rsidR="00D2569B" w:rsidRPr="00B34608" w:rsidRDefault="00D2569B" w:rsidP="00DC37A9">
            <w:pPr>
              <w:rPr>
                <w:sz w:val="20"/>
              </w:rPr>
            </w:pPr>
            <w:r w:rsidRPr="00B34608">
              <w:rPr>
                <w:sz w:val="20"/>
              </w:rPr>
              <w:t>11.</w:t>
            </w:r>
          </w:p>
        </w:tc>
        <w:tc>
          <w:tcPr>
            <w:tcW w:w="3006" w:type="dxa"/>
            <w:vAlign w:val="bottom"/>
          </w:tcPr>
          <w:p w:rsidR="00D2569B" w:rsidRPr="00B34608" w:rsidRDefault="00D2569B" w:rsidP="006E3E89">
            <w:pPr>
              <w:rPr>
                <w:sz w:val="20"/>
              </w:rPr>
            </w:pPr>
            <w:r>
              <w:rPr>
                <w:sz w:val="20"/>
              </w:rPr>
              <w:t>BC</w:t>
            </w:r>
            <w:r w:rsidRPr="00B34608">
              <w:rPr>
                <w:sz w:val="20"/>
              </w:rPr>
              <w:t xml:space="preserve">U Vilniaus </w:t>
            </w:r>
            <w:proofErr w:type="spellStart"/>
            <w:r w:rsidRPr="00B34608">
              <w:rPr>
                <w:sz w:val="20"/>
              </w:rPr>
              <w:t>kreditas</w:t>
            </w:r>
            <w:proofErr w:type="spellEnd"/>
          </w:p>
        </w:tc>
        <w:tc>
          <w:tcPr>
            <w:tcW w:w="1843" w:type="dxa"/>
            <w:vAlign w:val="bottom"/>
          </w:tcPr>
          <w:p w:rsidR="00D2569B" w:rsidRPr="00B34608" w:rsidRDefault="00D2569B" w:rsidP="00BC2855">
            <w:pPr>
              <w:jc w:val="right"/>
              <w:rPr>
                <w:sz w:val="20"/>
              </w:rPr>
            </w:pPr>
            <w:r w:rsidRPr="00B34608">
              <w:rPr>
                <w:sz w:val="20"/>
              </w:rPr>
              <w:t>-</w:t>
            </w:r>
          </w:p>
        </w:tc>
        <w:tc>
          <w:tcPr>
            <w:tcW w:w="2239" w:type="dxa"/>
            <w:vAlign w:val="bottom"/>
          </w:tcPr>
          <w:p w:rsidR="00D2569B" w:rsidRPr="00B34608" w:rsidRDefault="00D2569B" w:rsidP="00BC2855">
            <w:pPr>
              <w:jc w:val="right"/>
              <w:rPr>
                <w:sz w:val="20"/>
              </w:rPr>
            </w:pPr>
            <w:r>
              <w:rPr>
                <w:sz w:val="20"/>
              </w:rPr>
              <w:t>14,</w:t>
            </w:r>
            <w:r w:rsidRPr="00B34608">
              <w:rPr>
                <w:sz w:val="20"/>
              </w:rPr>
              <w:t>163</w:t>
            </w:r>
            <w:r>
              <w:rPr>
                <w:sz w:val="20"/>
              </w:rPr>
              <w:t>,</w:t>
            </w:r>
            <w:r w:rsidRPr="00B34608">
              <w:rPr>
                <w:sz w:val="20"/>
              </w:rPr>
              <w:t>589</w:t>
            </w:r>
          </w:p>
        </w:tc>
        <w:tc>
          <w:tcPr>
            <w:tcW w:w="1730" w:type="dxa"/>
            <w:vAlign w:val="bottom"/>
          </w:tcPr>
          <w:p w:rsidR="00D2569B" w:rsidRPr="00B34608" w:rsidRDefault="00D2569B" w:rsidP="00C96D69">
            <w:pPr>
              <w:jc w:val="right"/>
              <w:rPr>
                <w:b/>
                <w:sz w:val="20"/>
              </w:rPr>
            </w:pPr>
            <w:r>
              <w:rPr>
                <w:b/>
                <w:sz w:val="20"/>
              </w:rPr>
              <w:t>6,195,</w:t>
            </w:r>
            <w:r w:rsidRPr="00B34608">
              <w:rPr>
                <w:b/>
                <w:sz w:val="20"/>
              </w:rPr>
              <w:t>358</w:t>
            </w:r>
          </w:p>
        </w:tc>
      </w:tr>
      <w:tr w:rsidR="00D2569B" w:rsidRPr="00B34608" w:rsidTr="00C44150">
        <w:trPr>
          <w:trHeight w:val="413"/>
        </w:trPr>
        <w:tc>
          <w:tcPr>
            <w:tcW w:w="680" w:type="dxa"/>
          </w:tcPr>
          <w:p w:rsidR="00D2569B" w:rsidRPr="00B34608" w:rsidRDefault="00D2569B" w:rsidP="00BC2855">
            <w:pPr>
              <w:jc w:val="both"/>
              <w:rPr>
                <w:b/>
                <w:sz w:val="20"/>
              </w:rPr>
            </w:pPr>
          </w:p>
        </w:tc>
        <w:tc>
          <w:tcPr>
            <w:tcW w:w="3006" w:type="dxa"/>
            <w:vAlign w:val="bottom"/>
          </w:tcPr>
          <w:p w:rsidR="00D2569B" w:rsidRPr="00B34608" w:rsidRDefault="00D2569B" w:rsidP="00BC2855">
            <w:pPr>
              <w:jc w:val="right"/>
              <w:rPr>
                <w:b/>
                <w:sz w:val="20"/>
              </w:rPr>
            </w:pPr>
            <w:r>
              <w:rPr>
                <w:b/>
                <w:sz w:val="20"/>
              </w:rPr>
              <w:t>Total</w:t>
            </w:r>
            <w:r w:rsidRPr="00B34608">
              <w:rPr>
                <w:b/>
                <w:sz w:val="20"/>
              </w:rPr>
              <w:t>:</w:t>
            </w:r>
          </w:p>
        </w:tc>
        <w:tc>
          <w:tcPr>
            <w:tcW w:w="1843" w:type="dxa"/>
            <w:vAlign w:val="bottom"/>
          </w:tcPr>
          <w:p w:rsidR="00D2569B" w:rsidRPr="00B34608" w:rsidRDefault="00D2569B" w:rsidP="00C13C91">
            <w:pPr>
              <w:jc w:val="right"/>
              <w:rPr>
                <w:b/>
                <w:sz w:val="20"/>
              </w:rPr>
            </w:pPr>
            <w:r w:rsidRPr="00B34608">
              <w:rPr>
                <w:b/>
                <w:sz w:val="20"/>
              </w:rPr>
              <w:t>1</w:t>
            </w:r>
            <w:r>
              <w:rPr>
                <w:b/>
                <w:sz w:val="20"/>
              </w:rPr>
              <w:t>,</w:t>
            </w:r>
            <w:r w:rsidRPr="00B34608">
              <w:rPr>
                <w:b/>
                <w:sz w:val="20"/>
              </w:rPr>
              <w:t>898</w:t>
            </w:r>
            <w:r>
              <w:rPr>
                <w:b/>
                <w:sz w:val="20"/>
              </w:rPr>
              <w:t>,</w:t>
            </w:r>
            <w:r w:rsidRPr="00B34608">
              <w:rPr>
                <w:b/>
                <w:sz w:val="20"/>
              </w:rPr>
              <w:t>482</w:t>
            </w:r>
          </w:p>
        </w:tc>
        <w:tc>
          <w:tcPr>
            <w:tcW w:w="2239" w:type="dxa"/>
            <w:vAlign w:val="bottom"/>
          </w:tcPr>
          <w:p w:rsidR="00D2569B" w:rsidRPr="00B34608" w:rsidRDefault="00D2569B" w:rsidP="000C3FEA">
            <w:pPr>
              <w:jc w:val="right"/>
              <w:rPr>
                <w:b/>
                <w:sz w:val="20"/>
              </w:rPr>
            </w:pPr>
            <w:r>
              <w:rPr>
                <w:b/>
                <w:sz w:val="20"/>
              </w:rPr>
              <w:t>30,</w:t>
            </w:r>
            <w:r w:rsidRPr="00B34608">
              <w:rPr>
                <w:b/>
                <w:sz w:val="20"/>
              </w:rPr>
              <w:t>712</w:t>
            </w:r>
            <w:r>
              <w:rPr>
                <w:b/>
                <w:sz w:val="20"/>
              </w:rPr>
              <w:t>,</w:t>
            </w:r>
            <w:r w:rsidRPr="00B34608">
              <w:rPr>
                <w:b/>
                <w:sz w:val="20"/>
              </w:rPr>
              <w:t>222</w:t>
            </w:r>
          </w:p>
        </w:tc>
        <w:tc>
          <w:tcPr>
            <w:tcW w:w="1730" w:type="dxa"/>
            <w:vAlign w:val="bottom"/>
          </w:tcPr>
          <w:p w:rsidR="00D2569B" w:rsidRPr="00B34608" w:rsidRDefault="00D2569B" w:rsidP="00BC2855">
            <w:pPr>
              <w:jc w:val="right"/>
              <w:rPr>
                <w:b/>
                <w:sz w:val="20"/>
              </w:rPr>
            </w:pPr>
            <w:r>
              <w:rPr>
                <w:b/>
                <w:sz w:val="20"/>
              </w:rPr>
              <w:t>8,</w:t>
            </w:r>
            <w:r w:rsidRPr="00B34608">
              <w:rPr>
                <w:b/>
                <w:sz w:val="20"/>
              </w:rPr>
              <w:t>338</w:t>
            </w:r>
            <w:r>
              <w:rPr>
                <w:b/>
                <w:sz w:val="20"/>
              </w:rPr>
              <w:t>,</w:t>
            </w:r>
            <w:r w:rsidRPr="00B34608">
              <w:rPr>
                <w:b/>
                <w:sz w:val="20"/>
              </w:rPr>
              <w:t>141</w:t>
            </w:r>
          </w:p>
        </w:tc>
      </w:tr>
    </w:tbl>
    <w:p w:rsidR="00D2569B" w:rsidRPr="00B34608" w:rsidRDefault="00D2569B" w:rsidP="008257EB">
      <w:pPr>
        <w:spacing w:before="400" w:line="360" w:lineRule="auto"/>
        <w:rPr>
          <w:b/>
          <w:sz w:val="24"/>
          <w:szCs w:val="24"/>
        </w:rPr>
      </w:pPr>
      <w:r>
        <w:rPr>
          <w:b/>
          <w:sz w:val="24"/>
          <w:szCs w:val="24"/>
        </w:rPr>
        <w:t xml:space="preserve">Note </w:t>
      </w:r>
      <w:r w:rsidRPr="00B34608">
        <w:rPr>
          <w:b/>
          <w:sz w:val="24"/>
          <w:szCs w:val="24"/>
        </w:rPr>
        <w:t xml:space="preserve">7.  </w:t>
      </w:r>
      <w:r>
        <w:rPr>
          <w:b/>
          <w:sz w:val="24"/>
          <w:szCs w:val="24"/>
        </w:rPr>
        <w:t>Accumulated surplus or deficit</w:t>
      </w:r>
    </w:p>
    <w:p w:rsidR="00D2569B" w:rsidRPr="00B34608" w:rsidRDefault="00D2569B" w:rsidP="00CD17A9">
      <w:pPr>
        <w:tabs>
          <w:tab w:val="left" w:pos="0"/>
          <w:tab w:val="left" w:pos="540"/>
          <w:tab w:val="left" w:pos="1260"/>
          <w:tab w:val="left" w:pos="1440"/>
        </w:tabs>
        <w:spacing w:line="276" w:lineRule="auto"/>
        <w:ind w:left="-142" w:firstLine="142"/>
        <w:contextualSpacing/>
        <w:jc w:val="both"/>
      </w:pPr>
      <w:r w:rsidRPr="00B34608">
        <w:rPr>
          <w:szCs w:val="22"/>
        </w:rPr>
        <w:t xml:space="preserve">        </w:t>
      </w:r>
      <w:r>
        <w:rPr>
          <w:szCs w:val="22"/>
        </w:rPr>
        <w:t>Balances of the last day of the financial year of all income and expenses accounts are carried forward to the account of ‘Surplus or deficit of the current year’ on the last day of the financial year</w:t>
      </w:r>
      <w:r w:rsidRPr="00B34608">
        <w:rPr>
          <w:szCs w:val="22"/>
        </w:rPr>
        <w:t xml:space="preserve">. </w:t>
      </w:r>
      <w:r>
        <w:rPr>
          <w:szCs w:val="22"/>
        </w:rPr>
        <w:t xml:space="preserve">The amount of </w:t>
      </w:r>
      <w:r>
        <w:rPr>
          <w:szCs w:val="22"/>
        </w:rPr>
        <w:lastRenderedPageBreak/>
        <w:t xml:space="preserve">EUR </w:t>
      </w:r>
      <w:r w:rsidRPr="00B34608">
        <w:rPr>
          <w:szCs w:val="22"/>
        </w:rPr>
        <w:t>29</w:t>
      </w:r>
      <w:r>
        <w:rPr>
          <w:szCs w:val="22"/>
        </w:rPr>
        <w:t>,</w:t>
      </w:r>
      <w:r w:rsidRPr="00B34608">
        <w:rPr>
          <w:szCs w:val="22"/>
        </w:rPr>
        <w:t>103</w:t>
      </w:r>
      <w:r>
        <w:rPr>
          <w:szCs w:val="22"/>
        </w:rPr>
        <w:t>,</w:t>
      </w:r>
      <w:r w:rsidRPr="00B34608">
        <w:rPr>
          <w:szCs w:val="22"/>
        </w:rPr>
        <w:t xml:space="preserve">764 </w:t>
      </w:r>
      <w:r>
        <w:rPr>
          <w:szCs w:val="22"/>
        </w:rPr>
        <w:t>of the ‘Surplus or deficit of the current year’ is calculated by deducting from (adding to) the total amount of income from operating activities of EUR</w:t>
      </w:r>
      <w:r w:rsidRPr="00B34608">
        <w:rPr>
          <w:szCs w:val="22"/>
        </w:rPr>
        <w:t xml:space="preserve"> 21</w:t>
      </w:r>
      <w:r>
        <w:rPr>
          <w:szCs w:val="22"/>
        </w:rPr>
        <w:t>,</w:t>
      </w:r>
      <w:r w:rsidRPr="00B34608">
        <w:rPr>
          <w:szCs w:val="22"/>
        </w:rPr>
        <w:t>986</w:t>
      </w:r>
      <w:r>
        <w:rPr>
          <w:szCs w:val="22"/>
        </w:rPr>
        <w:t>,</w:t>
      </w:r>
      <w:r w:rsidRPr="00B34608">
        <w:rPr>
          <w:szCs w:val="22"/>
        </w:rPr>
        <w:t>526 (</w:t>
      </w:r>
      <w:r>
        <w:rPr>
          <w:szCs w:val="22"/>
        </w:rPr>
        <w:t>see Note</w:t>
      </w:r>
      <w:r w:rsidRPr="00B34608">
        <w:rPr>
          <w:szCs w:val="22"/>
        </w:rPr>
        <w:t xml:space="preserve"> 8) </w:t>
      </w:r>
      <w:r>
        <w:rPr>
          <w:szCs w:val="22"/>
        </w:rPr>
        <w:t xml:space="preserve">the operating activity expenses of EUR </w:t>
      </w:r>
      <w:r w:rsidRPr="00B34608">
        <w:rPr>
          <w:szCs w:val="22"/>
        </w:rPr>
        <w:t>7</w:t>
      </w:r>
      <w:r>
        <w:rPr>
          <w:szCs w:val="22"/>
        </w:rPr>
        <w:t>,</w:t>
      </w:r>
      <w:r w:rsidRPr="00B34608">
        <w:rPr>
          <w:szCs w:val="22"/>
        </w:rPr>
        <w:t>954</w:t>
      </w:r>
      <w:r>
        <w:rPr>
          <w:szCs w:val="22"/>
        </w:rPr>
        <w:t>,</w:t>
      </w:r>
      <w:r w:rsidRPr="00B34608">
        <w:rPr>
          <w:szCs w:val="22"/>
        </w:rPr>
        <w:t>264 (</w:t>
      </w:r>
      <w:r>
        <w:rPr>
          <w:szCs w:val="22"/>
        </w:rPr>
        <w:t>see Note</w:t>
      </w:r>
      <w:r w:rsidRPr="00B34608">
        <w:rPr>
          <w:szCs w:val="22"/>
        </w:rPr>
        <w:t xml:space="preserve"> 9) </w:t>
      </w:r>
      <w:r>
        <w:rPr>
          <w:szCs w:val="22"/>
        </w:rPr>
        <w:t>and deducting the financing and investing activity result of</w:t>
      </w:r>
      <w:r w:rsidRPr="00B34608">
        <w:rPr>
          <w:szCs w:val="22"/>
        </w:rPr>
        <w:t xml:space="preserve"> (-)</w:t>
      </w:r>
      <w:r>
        <w:rPr>
          <w:szCs w:val="22"/>
        </w:rPr>
        <w:t xml:space="preserve"> EUR 837,</w:t>
      </w:r>
      <w:r w:rsidRPr="00B34608">
        <w:rPr>
          <w:szCs w:val="22"/>
        </w:rPr>
        <w:t>026 (</w:t>
      </w:r>
      <w:r>
        <w:rPr>
          <w:szCs w:val="22"/>
        </w:rPr>
        <w:t xml:space="preserve">see Note </w:t>
      </w:r>
      <w:r w:rsidRPr="00B34608">
        <w:rPr>
          <w:szCs w:val="22"/>
        </w:rPr>
        <w:t>11).</w:t>
      </w:r>
      <w:r w:rsidRPr="00B34608">
        <w:t xml:space="preserve">      </w:t>
      </w:r>
    </w:p>
    <w:p w:rsidR="00D2569B" w:rsidRPr="00B34608" w:rsidRDefault="00D2569B" w:rsidP="00CD17A9">
      <w:pPr>
        <w:tabs>
          <w:tab w:val="left" w:pos="0"/>
          <w:tab w:val="left" w:pos="540"/>
          <w:tab w:val="left" w:pos="1260"/>
          <w:tab w:val="left" w:pos="1440"/>
        </w:tabs>
        <w:spacing w:line="276" w:lineRule="auto"/>
        <w:ind w:left="-142" w:firstLine="142"/>
        <w:contextualSpacing/>
        <w:jc w:val="both"/>
      </w:pPr>
      <w:r w:rsidRPr="00B34608">
        <w:tab/>
        <w:t xml:space="preserve"> </w:t>
      </w:r>
      <w:r>
        <w:t>The amount of EUR 228,</w:t>
      </w:r>
      <w:r w:rsidRPr="00B34608">
        <w:t>325</w:t>
      </w:r>
      <w:r>
        <w:t>,</w:t>
      </w:r>
      <w:r w:rsidRPr="00B34608">
        <w:t>924</w:t>
      </w:r>
      <w:r>
        <w:t xml:space="preserve"> of the</w:t>
      </w:r>
      <w:r w:rsidRPr="00B34608">
        <w:t xml:space="preserve"> </w:t>
      </w:r>
      <w:r>
        <w:rPr>
          <w:szCs w:val="22"/>
        </w:rPr>
        <w:t xml:space="preserve">‘Accumulated surplus or deficit’ </w:t>
      </w:r>
      <w:r>
        <w:t xml:space="preserve">is calculated by adding up </w:t>
      </w:r>
      <w:r>
        <w:rPr>
          <w:szCs w:val="22"/>
        </w:rPr>
        <w:t xml:space="preserve">amount of surplus of EUR </w:t>
      </w:r>
      <w:r w:rsidRPr="00B34608">
        <w:rPr>
          <w:szCs w:val="22"/>
        </w:rPr>
        <w:t>29</w:t>
      </w:r>
      <w:r>
        <w:rPr>
          <w:szCs w:val="22"/>
        </w:rPr>
        <w:t>,</w:t>
      </w:r>
      <w:r w:rsidRPr="00B34608">
        <w:rPr>
          <w:szCs w:val="22"/>
        </w:rPr>
        <w:t>103</w:t>
      </w:r>
      <w:r>
        <w:rPr>
          <w:szCs w:val="22"/>
        </w:rPr>
        <w:t>,</w:t>
      </w:r>
      <w:r w:rsidRPr="00B34608">
        <w:rPr>
          <w:szCs w:val="22"/>
        </w:rPr>
        <w:t xml:space="preserve">764 </w:t>
      </w:r>
      <w:r>
        <w:rPr>
          <w:szCs w:val="22"/>
        </w:rPr>
        <w:t xml:space="preserve">of the ‘Surplus or deficit of the current year’ and the amount of surplus of EUR </w:t>
      </w:r>
      <w:r w:rsidRPr="00B34608">
        <w:t>199</w:t>
      </w:r>
      <w:r>
        <w:t>,</w:t>
      </w:r>
      <w:r w:rsidRPr="00B34608">
        <w:t>222</w:t>
      </w:r>
      <w:r>
        <w:t>,</w:t>
      </w:r>
      <w:r w:rsidRPr="00B34608">
        <w:t xml:space="preserve">160 </w:t>
      </w:r>
      <w:r>
        <w:t>of the accumulated</w:t>
      </w:r>
      <w:r w:rsidRPr="00B34608">
        <w:t xml:space="preserve"> </w:t>
      </w:r>
      <w:r>
        <w:rPr>
          <w:szCs w:val="22"/>
        </w:rPr>
        <w:t>‘Surplus or deficit of the previous year’</w:t>
      </w:r>
      <w:r w:rsidRPr="00B34608">
        <w:t>.</w:t>
      </w:r>
    </w:p>
    <w:p w:rsidR="00D2569B" w:rsidRPr="00B34608" w:rsidRDefault="00D2569B" w:rsidP="00DF40D9">
      <w:pPr>
        <w:spacing w:before="400" w:line="360" w:lineRule="auto"/>
        <w:rPr>
          <w:b/>
          <w:sz w:val="24"/>
          <w:szCs w:val="24"/>
        </w:rPr>
      </w:pPr>
      <w:r>
        <w:rPr>
          <w:b/>
          <w:sz w:val="24"/>
          <w:szCs w:val="24"/>
        </w:rPr>
        <w:t>Note 8</w:t>
      </w:r>
      <w:r w:rsidRPr="00B34608">
        <w:rPr>
          <w:b/>
          <w:sz w:val="24"/>
          <w:szCs w:val="24"/>
        </w:rPr>
        <w:t xml:space="preserve">. </w:t>
      </w:r>
      <w:r>
        <w:rPr>
          <w:b/>
          <w:sz w:val="24"/>
          <w:szCs w:val="24"/>
        </w:rPr>
        <w:t>Operating activity income</w:t>
      </w:r>
    </w:p>
    <w:p w:rsidR="00D2569B" w:rsidRPr="00B34608" w:rsidRDefault="00D2569B" w:rsidP="00CD17A9">
      <w:pPr>
        <w:spacing w:line="276" w:lineRule="auto"/>
        <w:ind w:left="-142" w:firstLine="142"/>
        <w:jc w:val="both"/>
        <w:rPr>
          <w:szCs w:val="22"/>
        </w:rPr>
      </w:pPr>
      <w:r w:rsidRPr="00B34608">
        <w:rPr>
          <w:color w:val="000000"/>
          <w:szCs w:val="22"/>
        </w:rPr>
        <w:t xml:space="preserve">       </w:t>
      </w:r>
      <w:r>
        <w:rPr>
          <w:color w:val="000000"/>
          <w:szCs w:val="22"/>
        </w:rPr>
        <w:t>As at 31 December</w:t>
      </w:r>
      <w:r w:rsidRPr="00B34608">
        <w:rPr>
          <w:color w:val="000000"/>
          <w:szCs w:val="22"/>
        </w:rPr>
        <w:t xml:space="preserve"> 2017</w:t>
      </w:r>
      <w:r>
        <w:rPr>
          <w:color w:val="000000"/>
          <w:szCs w:val="22"/>
        </w:rPr>
        <w:t>, deposits were insured by</w:t>
      </w:r>
      <w:r w:rsidRPr="00B34608">
        <w:rPr>
          <w:color w:val="000000"/>
          <w:szCs w:val="22"/>
        </w:rPr>
        <w:t xml:space="preserve"> 6 </w:t>
      </w:r>
      <w:r>
        <w:rPr>
          <w:color w:val="000000"/>
          <w:szCs w:val="22"/>
        </w:rPr>
        <w:t>commercial banks and 70 credit unions</w:t>
      </w:r>
      <w:r w:rsidRPr="00B34608">
        <w:rPr>
          <w:color w:val="000000"/>
          <w:szCs w:val="22"/>
        </w:rPr>
        <w:t xml:space="preserve">. </w:t>
      </w:r>
      <w:r>
        <w:rPr>
          <w:color w:val="000000"/>
          <w:szCs w:val="22"/>
        </w:rPr>
        <w:t xml:space="preserve">The amount of insurance contributions calculated for the deposit insurance system participants in </w:t>
      </w:r>
      <w:r w:rsidRPr="00B34608">
        <w:rPr>
          <w:color w:val="000000"/>
          <w:szCs w:val="22"/>
        </w:rPr>
        <w:t xml:space="preserve">2017 </w:t>
      </w:r>
      <w:r>
        <w:rPr>
          <w:color w:val="000000"/>
          <w:szCs w:val="22"/>
        </w:rPr>
        <w:t xml:space="preserve">totalled EUR </w:t>
      </w:r>
      <w:r w:rsidRPr="00B34608">
        <w:rPr>
          <w:color w:val="000000"/>
          <w:szCs w:val="22"/>
        </w:rPr>
        <w:t>21</w:t>
      </w:r>
      <w:r>
        <w:rPr>
          <w:color w:val="000000"/>
          <w:szCs w:val="22"/>
        </w:rPr>
        <w:t>.</w:t>
      </w:r>
      <w:r w:rsidRPr="00B34608">
        <w:rPr>
          <w:color w:val="000000"/>
          <w:szCs w:val="22"/>
        </w:rPr>
        <w:t xml:space="preserve">99 </w:t>
      </w:r>
      <w:r>
        <w:rPr>
          <w:color w:val="000000"/>
          <w:szCs w:val="22"/>
        </w:rPr>
        <w:t>million</w:t>
      </w:r>
      <w:r w:rsidRPr="00B34608">
        <w:rPr>
          <w:sz w:val="20"/>
        </w:rPr>
        <w:t>.</w:t>
      </w:r>
    </w:p>
    <w:p w:rsidR="00D2569B" w:rsidRPr="00B34608" w:rsidRDefault="00D2569B" w:rsidP="00CD17A9">
      <w:pPr>
        <w:spacing w:line="276" w:lineRule="auto"/>
        <w:ind w:left="-142" w:firstLine="142"/>
        <w:jc w:val="both"/>
        <w:rPr>
          <w:color w:val="000000"/>
          <w:szCs w:val="22"/>
        </w:rPr>
      </w:pPr>
      <w:r w:rsidRPr="00B34608">
        <w:rPr>
          <w:color w:val="000000"/>
          <w:szCs w:val="22"/>
        </w:rPr>
        <w:t xml:space="preserve">         </w:t>
      </w:r>
      <w:r>
        <w:rPr>
          <w:color w:val="000000"/>
          <w:szCs w:val="22"/>
        </w:rPr>
        <w:t xml:space="preserve">The annual amount of periodic </w:t>
      </w:r>
      <w:r w:rsidRPr="00B34608">
        <w:rPr>
          <w:color w:val="000000"/>
          <w:szCs w:val="22"/>
        </w:rPr>
        <w:t>(</w:t>
      </w:r>
      <w:proofErr w:type="spellStart"/>
      <w:r w:rsidRPr="00B34608">
        <w:rPr>
          <w:color w:val="000000"/>
          <w:szCs w:val="22"/>
        </w:rPr>
        <w:t>ex ante</w:t>
      </w:r>
      <w:proofErr w:type="spellEnd"/>
      <w:r w:rsidRPr="00B34608">
        <w:rPr>
          <w:color w:val="000000"/>
          <w:szCs w:val="22"/>
        </w:rPr>
        <w:t>)</w:t>
      </w:r>
      <w:r>
        <w:rPr>
          <w:color w:val="000000"/>
          <w:szCs w:val="22"/>
        </w:rPr>
        <w:t xml:space="preserve"> deposit insurance contributions payable by all deposit insurance system participants to the Deposit Insurance Fund fixed by Order No </w:t>
      </w:r>
      <w:r w:rsidRPr="00B34608">
        <w:rPr>
          <w:color w:val="000000"/>
          <w:szCs w:val="22"/>
        </w:rPr>
        <w:t>1K-210</w:t>
      </w:r>
      <w:r>
        <w:rPr>
          <w:color w:val="000000"/>
          <w:szCs w:val="22"/>
        </w:rPr>
        <w:t xml:space="preserve"> of the Minister of Finance of the Republic of Lithuania of 31 May </w:t>
      </w:r>
      <w:r w:rsidRPr="00B34608">
        <w:rPr>
          <w:color w:val="000000"/>
          <w:szCs w:val="22"/>
        </w:rPr>
        <w:t>2017</w:t>
      </w:r>
      <w:r>
        <w:rPr>
          <w:color w:val="000000"/>
          <w:szCs w:val="22"/>
        </w:rPr>
        <w:t xml:space="preserve"> for the period between 1 July</w:t>
      </w:r>
      <w:r w:rsidRPr="00B34608">
        <w:rPr>
          <w:color w:val="000000"/>
          <w:szCs w:val="22"/>
        </w:rPr>
        <w:t xml:space="preserve"> 2017 </w:t>
      </w:r>
      <w:r>
        <w:rPr>
          <w:color w:val="000000"/>
          <w:szCs w:val="22"/>
        </w:rPr>
        <w:t xml:space="preserve">and 30 June </w:t>
      </w:r>
      <w:r w:rsidRPr="00B34608">
        <w:rPr>
          <w:color w:val="000000"/>
          <w:szCs w:val="22"/>
        </w:rPr>
        <w:t xml:space="preserve">2018 </w:t>
      </w:r>
      <w:r>
        <w:rPr>
          <w:color w:val="000000"/>
          <w:szCs w:val="22"/>
        </w:rPr>
        <w:t>was EUR</w:t>
      </w:r>
      <w:r w:rsidRPr="00B34608">
        <w:rPr>
          <w:color w:val="000000"/>
          <w:szCs w:val="22"/>
        </w:rPr>
        <w:t xml:space="preserve"> 11</w:t>
      </w:r>
      <w:r>
        <w:rPr>
          <w:color w:val="000000"/>
          <w:szCs w:val="22"/>
        </w:rPr>
        <w:t>.</w:t>
      </w:r>
      <w:r w:rsidRPr="00B34608">
        <w:rPr>
          <w:color w:val="000000"/>
          <w:szCs w:val="22"/>
        </w:rPr>
        <w:t xml:space="preserve">82 </w:t>
      </w:r>
      <w:r>
        <w:rPr>
          <w:color w:val="000000"/>
          <w:szCs w:val="22"/>
        </w:rPr>
        <w:t>million</w:t>
      </w:r>
      <w:r w:rsidRPr="00B34608">
        <w:rPr>
          <w:color w:val="000000"/>
          <w:szCs w:val="22"/>
        </w:rPr>
        <w:t xml:space="preserve">. </w:t>
      </w:r>
      <w:r>
        <w:rPr>
          <w:color w:val="000000"/>
          <w:szCs w:val="22"/>
        </w:rPr>
        <w:t xml:space="preserve">The annual amount of periodic </w:t>
      </w:r>
      <w:r w:rsidRPr="00B34608">
        <w:rPr>
          <w:color w:val="000000"/>
          <w:szCs w:val="22"/>
        </w:rPr>
        <w:t>(</w:t>
      </w:r>
      <w:proofErr w:type="spellStart"/>
      <w:r w:rsidRPr="00B34608">
        <w:rPr>
          <w:color w:val="000000"/>
          <w:szCs w:val="22"/>
        </w:rPr>
        <w:t>ex ante</w:t>
      </w:r>
      <w:proofErr w:type="spellEnd"/>
      <w:r w:rsidRPr="00B34608">
        <w:rPr>
          <w:color w:val="000000"/>
          <w:szCs w:val="22"/>
        </w:rPr>
        <w:t>)</w:t>
      </w:r>
      <w:r>
        <w:rPr>
          <w:color w:val="000000"/>
          <w:szCs w:val="22"/>
        </w:rPr>
        <w:t xml:space="preserve"> deposit insurance contributions payable by all deposit insurance system participants to the Deposit Insurance Fund fixed by Order </w:t>
      </w:r>
      <w:r w:rsidRPr="00B34608">
        <w:rPr>
          <w:color w:val="000000"/>
          <w:szCs w:val="22"/>
        </w:rPr>
        <w:t>N</w:t>
      </w:r>
      <w:r>
        <w:rPr>
          <w:color w:val="000000"/>
          <w:szCs w:val="22"/>
        </w:rPr>
        <w:t>o</w:t>
      </w:r>
      <w:r w:rsidRPr="00B34608">
        <w:rPr>
          <w:color w:val="000000"/>
          <w:szCs w:val="22"/>
        </w:rPr>
        <w:t xml:space="preserve"> 1-K 194 </w:t>
      </w:r>
      <w:r>
        <w:rPr>
          <w:color w:val="000000"/>
          <w:szCs w:val="22"/>
        </w:rPr>
        <w:t>of the Minister of Finance of the Republic of Lithuania of</w:t>
      </w:r>
      <w:r w:rsidRPr="00B34608">
        <w:rPr>
          <w:color w:val="000000"/>
          <w:szCs w:val="22"/>
        </w:rPr>
        <w:t xml:space="preserve"> </w:t>
      </w:r>
      <w:r>
        <w:rPr>
          <w:color w:val="000000"/>
          <w:szCs w:val="22"/>
        </w:rPr>
        <w:t>19 May</w:t>
      </w:r>
      <w:r w:rsidRPr="00B34608">
        <w:rPr>
          <w:color w:val="000000"/>
          <w:szCs w:val="22"/>
        </w:rPr>
        <w:t xml:space="preserve"> 2016 </w:t>
      </w:r>
      <w:r>
        <w:rPr>
          <w:color w:val="000000"/>
          <w:szCs w:val="22"/>
        </w:rPr>
        <w:t xml:space="preserve">on the setting of the annual amount of periodic </w:t>
      </w:r>
      <w:r w:rsidRPr="00B34608">
        <w:rPr>
          <w:color w:val="000000"/>
          <w:szCs w:val="22"/>
        </w:rPr>
        <w:t>(</w:t>
      </w:r>
      <w:proofErr w:type="spellStart"/>
      <w:r w:rsidRPr="00B34608">
        <w:rPr>
          <w:color w:val="000000"/>
          <w:szCs w:val="22"/>
        </w:rPr>
        <w:t>ex ante</w:t>
      </w:r>
      <w:proofErr w:type="spellEnd"/>
      <w:r w:rsidRPr="00B34608">
        <w:rPr>
          <w:color w:val="000000"/>
          <w:szCs w:val="22"/>
        </w:rPr>
        <w:t>)</w:t>
      </w:r>
      <w:r>
        <w:rPr>
          <w:color w:val="000000"/>
          <w:szCs w:val="22"/>
        </w:rPr>
        <w:t xml:space="preserve"> deposit insurance contributions</w:t>
      </w:r>
      <w:r w:rsidRPr="00B34608">
        <w:rPr>
          <w:color w:val="000000"/>
          <w:szCs w:val="22"/>
        </w:rPr>
        <w:t xml:space="preserve"> </w:t>
      </w:r>
      <w:r>
        <w:rPr>
          <w:color w:val="000000"/>
          <w:szCs w:val="22"/>
        </w:rPr>
        <w:t>for the period between 1 July</w:t>
      </w:r>
      <w:r w:rsidRPr="00B34608">
        <w:rPr>
          <w:color w:val="000000"/>
          <w:szCs w:val="22"/>
        </w:rPr>
        <w:t xml:space="preserve"> 201</w:t>
      </w:r>
      <w:r>
        <w:rPr>
          <w:color w:val="000000"/>
          <w:szCs w:val="22"/>
        </w:rPr>
        <w:t>6</w:t>
      </w:r>
      <w:r w:rsidRPr="00B34608">
        <w:rPr>
          <w:color w:val="000000"/>
          <w:szCs w:val="22"/>
        </w:rPr>
        <w:t xml:space="preserve"> </w:t>
      </w:r>
      <w:r>
        <w:rPr>
          <w:color w:val="000000"/>
          <w:szCs w:val="22"/>
        </w:rPr>
        <w:t xml:space="preserve">and 30 June </w:t>
      </w:r>
      <w:r w:rsidRPr="00B34608">
        <w:rPr>
          <w:color w:val="000000"/>
          <w:szCs w:val="22"/>
        </w:rPr>
        <w:t>201</w:t>
      </w:r>
      <w:r>
        <w:rPr>
          <w:color w:val="000000"/>
          <w:szCs w:val="22"/>
        </w:rPr>
        <w:t>7</w:t>
      </w:r>
      <w:r w:rsidRPr="00B34608">
        <w:rPr>
          <w:color w:val="000000"/>
          <w:szCs w:val="22"/>
        </w:rPr>
        <w:t xml:space="preserve"> </w:t>
      </w:r>
      <w:r>
        <w:rPr>
          <w:color w:val="000000"/>
          <w:szCs w:val="22"/>
        </w:rPr>
        <w:t xml:space="preserve">was EUR </w:t>
      </w:r>
      <w:r w:rsidRPr="00B34608">
        <w:rPr>
          <w:color w:val="000000"/>
          <w:szCs w:val="22"/>
        </w:rPr>
        <w:t>32</w:t>
      </w:r>
      <w:r>
        <w:rPr>
          <w:color w:val="000000"/>
          <w:szCs w:val="22"/>
        </w:rPr>
        <w:t>.</w:t>
      </w:r>
      <w:r w:rsidRPr="00B34608">
        <w:rPr>
          <w:color w:val="000000"/>
          <w:szCs w:val="22"/>
        </w:rPr>
        <w:t xml:space="preserve">40 </w:t>
      </w:r>
      <w:r>
        <w:rPr>
          <w:color w:val="000000"/>
          <w:szCs w:val="22"/>
        </w:rPr>
        <w:t>million</w:t>
      </w:r>
      <w:r w:rsidRPr="00B34608">
        <w:rPr>
          <w:color w:val="000000"/>
          <w:szCs w:val="22"/>
        </w:rPr>
        <w:t xml:space="preserve">. </w:t>
      </w:r>
    </w:p>
    <w:p w:rsidR="00D2569B" w:rsidRPr="00B34608" w:rsidRDefault="00D2569B" w:rsidP="00430C6C">
      <w:pPr>
        <w:spacing w:line="276" w:lineRule="auto"/>
        <w:jc w:val="both"/>
        <w:rPr>
          <w:color w:val="000000"/>
          <w:szCs w:val="22"/>
        </w:rPr>
      </w:pPr>
    </w:p>
    <w:p w:rsidR="00D2569B" w:rsidRPr="00B34608" w:rsidRDefault="00D2569B" w:rsidP="005A64C2">
      <w:pPr>
        <w:pStyle w:val="Antrat1"/>
        <w:tabs>
          <w:tab w:val="left" w:pos="-284"/>
        </w:tabs>
        <w:spacing w:before="0" w:line="240" w:lineRule="auto"/>
        <w:ind w:left="-284" w:firstLine="426"/>
        <w:rPr>
          <w:b w:val="0"/>
          <w:i/>
          <w:sz w:val="22"/>
          <w:szCs w:val="22"/>
        </w:rPr>
      </w:pPr>
      <w:r>
        <w:rPr>
          <w:b w:val="0"/>
          <w:i/>
          <w:sz w:val="22"/>
          <w:szCs w:val="22"/>
        </w:rPr>
        <w:t xml:space="preserve">Table </w:t>
      </w:r>
      <w:r w:rsidRPr="00B34608">
        <w:rPr>
          <w:b w:val="0"/>
          <w:i/>
          <w:sz w:val="22"/>
          <w:szCs w:val="22"/>
        </w:rPr>
        <w:t>7</w:t>
      </w:r>
      <w:r>
        <w:rPr>
          <w:b w:val="0"/>
          <w:i/>
          <w:sz w:val="22"/>
          <w:szCs w:val="22"/>
        </w:rPr>
        <w:t>. Operating activity income</w:t>
      </w:r>
    </w:p>
    <w:tbl>
      <w:tblPr>
        <w:tblW w:w="9669" w:type="dxa"/>
        <w:tblInd w:w="-176" w:type="dxa"/>
        <w:tblLayout w:type="fixed"/>
        <w:tblLook w:val="00A0" w:firstRow="1" w:lastRow="0" w:firstColumn="1" w:lastColumn="0" w:noHBand="0" w:noVBand="0"/>
      </w:tblPr>
      <w:tblGrid>
        <w:gridCol w:w="236"/>
        <w:gridCol w:w="473"/>
        <w:gridCol w:w="5372"/>
        <w:gridCol w:w="1781"/>
        <w:gridCol w:w="1807"/>
      </w:tblGrid>
      <w:tr w:rsidR="00D2569B" w:rsidRPr="00B34608" w:rsidTr="00430C6C">
        <w:trPr>
          <w:trHeight w:val="477"/>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2569B" w:rsidRPr="00B34608" w:rsidRDefault="00D2569B" w:rsidP="009F20FD">
            <w:pPr>
              <w:tabs>
                <w:tab w:val="left" w:pos="0"/>
              </w:tabs>
              <w:jc w:val="center"/>
              <w:rPr>
                <w:b/>
                <w:bCs/>
                <w:sz w:val="20"/>
              </w:rPr>
            </w:pPr>
            <w:r>
              <w:rPr>
                <w:b/>
                <w:bCs/>
                <w:sz w:val="20"/>
              </w:rPr>
              <w:t>Seq. No</w:t>
            </w:r>
          </w:p>
        </w:tc>
        <w:tc>
          <w:tcPr>
            <w:tcW w:w="5372" w:type="dxa"/>
            <w:tcBorders>
              <w:top w:val="single" w:sz="4" w:space="0" w:color="auto"/>
              <w:left w:val="nil"/>
              <w:bottom w:val="single" w:sz="4" w:space="0" w:color="auto"/>
              <w:right w:val="single" w:sz="4" w:space="0" w:color="auto"/>
            </w:tcBorders>
            <w:shd w:val="clear" w:color="000000" w:fill="FFFFFF"/>
            <w:vAlign w:val="center"/>
          </w:tcPr>
          <w:p w:rsidR="00D2569B" w:rsidRPr="00B34608" w:rsidRDefault="00D2569B" w:rsidP="009966A3">
            <w:pPr>
              <w:tabs>
                <w:tab w:val="left" w:pos="0"/>
              </w:tabs>
              <w:jc w:val="center"/>
              <w:rPr>
                <w:b/>
                <w:bCs/>
                <w:sz w:val="20"/>
              </w:rPr>
            </w:pPr>
            <w:r>
              <w:rPr>
                <w:b/>
                <w:bCs/>
                <w:sz w:val="20"/>
              </w:rPr>
              <w:t>Item</w:t>
            </w:r>
          </w:p>
        </w:tc>
        <w:tc>
          <w:tcPr>
            <w:tcW w:w="1781" w:type="dxa"/>
            <w:tcBorders>
              <w:top w:val="single" w:sz="4" w:space="0" w:color="auto"/>
              <w:left w:val="nil"/>
              <w:bottom w:val="single" w:sz="4" w:space="0" w:color="auto"/>
              <w:right w:val="single" w:sz="4" w:space="0" w:color="auto"/>
            </w:tcBorders>
            <w:shd w:val="clear" w:color="000000" w:fill="FFFFFF"/>
            <w:vAlign w:val="center"/>
          </w:tcPr>
          <w:p w:rsidR="00D2569B" w:rsidRPr="00B34608" w:rsidRDefault="00D2569B" w:rsidP="009966A3">
            <w:pPr>
              <w:tabs>
                <w:tab w:val="left" w:pos="0"/>
              </w:tabs>
              <w:jc w:val="center"/>
              <w:rPr>
                <w:b/>
                <w:bCs/>
                <w:sz w:val="20"/>
              </w:rPr>
            </w:pPr>
            <w:r>
              <w:rPr>
                <w:b/>
                <w:bCs/>
                <w:sz w:val="20"/>
              </w:rPr>
              <w:t xml:space="preserve">31 12 </w:t>
            </w:r>
            <w:r w:rsidRPr="00B34608">
              <w:rPr>
                <w:b/>
                <w:bCs/>
                <w:sz w:val="20"/>
              </w:rPr>
              <w:t>2017</w:t>
            </w:r>
          </w:p>
        </w:tc>
        <w:tc>
          <w:tcPr>
            <w:tcW w:w="1807" w:type="dxa"/>
            <w:tcBorders>
              <w:top w:val="single" w:sz="4" w:space="0" w:color="auto"/>
              <w:left w:val="nil"/>
              <w:bottom w:val="single" w:sz="4" w:space="0" w:color="auto"/>
              <w:right w:val="single" w:sz="4" w:space="0" w:color="auto"/>
            </w:tcBorders>
            <w:shd w:val="clear" w:color="000000" w:fill="FFFFFF"/>
            <w:vAlign w:val="center"/>
          </w:tcPr>
          <w:p w:rsidR="00D2569B" w:rsidRPr="00B34608" w:rsidRDefault="00D2569B" w:rsidP="009966A3">
            <w:pPr>
              <w:tabs>
                <w:tab w:val="left" w:pos="0"/>
              </w:tabs>
              <w:jc w:val="center"/>
              <w:rPr>
                <w:b/>
                <w:bCs/>
                <w:sz w:val="20"/>
              </w:rPr>
            </w:pPr>
            <w:r>
              <w:rPr>
                <w:b/>
                <w:bCs/>
                <w:sz w:val="20"/>
              </w:rPr>
              <w:t xml:space="preserve">31 12 </w:t>
            </w:r>
            <w:r w:rsidRPr="00B34608">
              <w:rPr>
                <w:b/>
                <w:bCs/>
                <w:sz w:val="20"/>
              </w:rPr>
              <w:t>201</w:t>
            </w:r>
            <w:r>
              <w:rPr>
                <w:b/>
                <w:bCs/>
                <w:sz w:val="20"/>
              </w:rPr>
              <w:t>6</w:t>
            </w:r>
          </w:p>
        </w:tc>
      </w:tr>
      <w:tr w:rsidR="00D2569B" w:rsidRPr="00B34608" w:rsidTr="00430C6C">
        <w:trPr>
          <w:trHeight w:val="257"/>
        </w:trPr>
        <w:tc>
          <w:tcPr>
            <w:tcW w:w="709" w:type="dxa"/>
            <w:gridSpan w:val="2"/>
            <w:tcBorders>
              <w:top w:val="nil"/>
              <w:left w:val="single" w:sz="4" w:space="0" w:color="auto"/>
              <w:bottom w:val="single" w:sz="4" w:space="0" w:color="auto"/>
              <w:right w:val="single" w:sz="4" w:space="0" w:color="auto"/>
            </w:tcBorders>
            <w:shd w:val="clear" w:color="000000" w:fill="FFFFFF"/>
            <w:vAlign w:val="center"/>
          </w:tcPr>
          <w:p w:rsidR="00D2569B" w:rsidRPr="00B34608" w:rsidRDefault="00D2569B" w:rsidP="009F20FD">
            <w:pPr>
              <w:tabs>
                <w:tab w:val="left" w:pos="0"/>
              </w:tabs>
              <w:jc w:val="center"/>
              <w:rPr>
                <w:sz w:val="20"/>
              </w:rPr>
            </w:pPr>
            <w:r w:rsidRPr="00B34608">
              <w:rPr>
                <w:sz w:val="20"/>
              </w:rPr>
              <w:t>1</w:t>
            </w:r>
          </w:p>
        </w:tc>
        <w:tc>
          <w:tcPr>
            <w:tcW w:w="5372" w:type="dxa"/>
            <w:tcBorders>
              <w:top w:val="nil"/>
              <w:left w:val="nil"/>
              <w:bottom w:val="single" w:sz="4" w:space="0" w:color="auto"/>
              <w:right w:val="single" w:sz="4" w:space="0" w:color="auto"/>
            </w:tcBorders>
            <w:shd w:val="clear" w:color="000000" w:fill="FFFFFF"/>
            <w:vAlign w:val="center"/>
          </w:tcPr>
          <w:p w:rsidR="00D2569B" w:rsidRPr="00B34608" w:rsidRDefault="00D2569B" w:rsidP="009F20FD">
            <w:pPr>
              <w:tabs>
                <w:tab w:val="left" w:pos="0"/>
              </w:tabs>
              <w:jc w:val="center"/>
              <w:rPr>
                <w:sz w:val="20"/>
              </w:rPr>
            </w:pPr>
            <w:r w:rsidRPr="00B34608">
              <w:rPr>
                <w:sz w:val="20"/>
              </w:rPr>
              <w:t>2</w:t>
            </w:r>
          </w:p>
        </w:tc>
        <w:tc>
          <w:tcPr>
            <w:tcW w:w="1781" w:type="dxa"/>
            <w:tcBorders>
              <w:top w:val="nil"/>
              <w:left w:val="nil"/>
              <w:bottom w:val="single" w:sz="4" w:space="0" w:color="auto"/>
              <w:right w:val="single" w:sz="4" w:space="0" w:color="auto"/>
            </w:tcBorders>
            <w:shd w:val="clear" w:color="000000" w:fill="FFFFFF"/>
            <w:vAlign w:val="center"/>
          </w:tcPr>
          <w:p w:rsidR="00D2569B" w:rsidRPr="00B34608" w:rsidRDefault="00D2569B" w:rsidP="009F20FD">
            <w:pPr>
              <w:tabs>
                <w:tab w:val="left" w:pos="0"/>
              </w:tabs>
              <w:jc w:val="center"/>
              <w:rPr>
                <w:sz w:val="20"/>
              </w:rPr>
            </w:pPr>
            <w:r w:rsidRPr="00B34608">
              <w:rPr>
                <w:sz w:val="20"/>
              </w:rPr>
              <w:t>3</w:t>
            </w:r>
          </w:p>
        </w:tc>
        <w:tc>
          <w:tcPr>
            <w:tcW w:w="1807" w:type="dxa"/>
            <w:tcBorders>
              <w:top w:val="nil"/>
              <w:left w:val="nil"/>
              <w:bottom w:val="single" w:sz="4" w:space="0" w:color="auto"/>
              <w:right w:val="single" w:sz="4" w:space="0" w:color="auto"/>
            </w:tcBorders>
            <w:shd w:val="clear" w:color="000000" w:fill="FFFFFF"/>
          </w:tcPr>
          <w:p w:rsidR="00D2569B" w:rsidRPr="00B34608" w:rsidRDefault="00D2569B" w:rsidP="009F20FD">
            <w:pPr>
              <w:tabs>
                <w:tab w:val="left" w:pos="0"/>
              </w:tabs>
              <w:jc w:val="center"/>
              <w:rPr>
                <w:sz w:val="20"/>
              </w:rPr>
            </w:pPr>
            <w:r w:rsidRPr="00B34608">
              <w:rPr>
                <w:sz w:val="20"/>
              </w:rPr>
              <w:t>4</w:t>
            </w:r>
          </w:p>
        </w:tc>
      </w:tr>
      <w:tr w:rsidR="00D2569B" w:rsidRPr="00B34608" w:rsidTr="00430C6C">
        <w:trPr>
          <w:trHeight w:val="257"/>
        </w:trPr>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9F20FD">
            <w:pPr>
              <w:tabs>
                <w:tab w:val="left" w:pos="0"/>
              </w:tabs>
              <w:jc w:val="center"/>
              <w:rPr>
                <w:b/>
                <w:bCs/>
                <w:sz w:val="20"/>
              </w:rPr>
            </w:pPr>
            <w:r w:rsidRPr="00B34608">
              <w:rPr>
                <w:b/>
                <w:bCs/>
                <w:sz w:val="20"/>
              </w:rPr>
              <w:t>1.</w:t>
            </w:r>
          </w:p>
        </w:tc>
        <w:tc>
          <w:tcPr>
            <w:tcW w:w="5372" w:type="dxa"/>
            <w:tcBorders>
              <w:top w:val="nil"/>
              <w:left w:val="nil"/>
              <w:bottom w:val="single" w:sz="4" w:space="0" w:color="auto"/>
              <w:right w:val="single" w:sz="4" w:space="0" w:color="auto"/>
            </w:tcBorders>
            <w:shd w:val="clear" w:color="000000" w:fill="FFFFFF"/>
            <w:vAlign w:val="bottom"/>
          </w:tcPr>
          <w:p w:rsidR="00D2569B" w:rsidRPr="00B34608" w:rsidRDefault="00D2569B" w:rsidP="00A5562A">
            <w:pPr>
              <w:tabs>
                <w:tab w:val="left" w:pos="0"/>
              </w:tabs>
              <w:rPr>
                <w:b/>
                <w:bCs/>
                <w:sz w:val="20"/>
              </w:rPr>
            </w:pPr>
            <w:r>
              <w:rPr>
                <w:b/>
                <w:bCs/>
                <w:sz w:val="20"/>
              </w:rPr>
              <w:t>Calculated income from operating activities</w:t>
            </w:r>
          </w:p>
        </w:tc>
        <w:tc>
          <w:tcPr>
            <w:tcW w:w="1781" w:type="dxa"/>
            <w:tcBorders>
              <w:top w:val="nil"/>
              <w:left w:val="nil"/>
              <w:bottom w:val="single" w:sz="4" w:space="0" w:color="auto"/>
              <w:right w:val="single" w:sz="4" w:space="0" w:color="auto"/>
            </w:tcBorders>
            <w:shd w:val="clear" w:color="000000" w:fill="FFFFFF"/>
            <w:vAlign w:val="center"/>
          </w:tcPr>
          <w:p w:rsidR="00D2569B" w:rsidRPr="00B34608" w:rsidRDefault="00D2569B" w:rsidP="00B80A35">
            <w:pPr>
              <w:tabs>
                <w:tab w:val="left" w:pos="0"/>
              </w:tabs>
              <w:jc w:val="right"/>
              <w:rPr>
                <w:b/>
                <w:bCs/>
                <w:sz w:val="20"/>
              </w:rPr>
            </w:pPr>
          </w:p>
        </w:tc>
        <w:tc>
          <w:tcPr>
            <w:tcW w:w="1807" w:type="dxa"/>
            <w:tcBorders>
              <w:top w:val="nil"/>
              <w:left w:val="nil"/>
              <w:bottom w:val="single" w:sz="4" w:space="0" w:color="auto"/>
              <w:right w:val="single" w:sz="4" w:space="0" w:color="auto"/>
            </w:tcBorders>
            <w:shd w:val="clear" w:color="000000" w:fill="FFFFFF"/>
          </w:tcPr>
          <w:p w:rsidR="00D2569B" w:rsidRPr="00B34608" w:rsidRDefault="00D2569B" w:rsidP="00B80A35">
            <w:pPr>
              <w:tabs>
                <w:tab w:val="left" w:pos="0"/>
              </w:tabs>
              <w:jc w:val="right"/>
              <w:rPr>
                <w:b/>
                <w:bCs/>
                <w:sz w:val="20"/>
              </w:rPr>
            </w:pPr>
          </w:p>
        </w:tc>
      </w:tr>
      <w:tr w:rsidR="00D2569B" w:rsidRPr="00B34608" w:rsidTr="00430C6C">
        <w:trPr>
          <w:trHeight w:val="257"/>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2569B" w:rsidRPr="00B34608" w:rsidRDefault="00D2569B" w:rsidP="009F20FD">
            <w:pPr>
              <w:tabs>
                <w:tab w:val="left" w:pos="0"/>
              </w:tabs>
              <w:jc w:val="center"/>
              <w:rPr>
                <w:b/>
                <w:sz w:val="20"/>
              </w:rPr>
            </w:pPr>
            <w:r w:rsidRPr="00B34608">
              <w:rPr>
                <w:b/>
                <w:sz w:val="20"/>
              </w:rPr>
              <w:t>2.</w:t>
            </w:r>
          </w:p>
        </w:tc>
        <w:tc>
          <w:tcPr>
            <w:tcW w:w="5372"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9F20FD">
            <w:pPr>
              <w:tabs>
                <w:tab w:val="left" w:pos="0"/>
              </w:tabs>
              <w:rPr>
                <w:b/>
                <w:sz w:val="20"/>
              </w:rPr>
            </w:pPr>
            <w:r>
              <w:rPr>
                <w:b/>
                <w:sz w:val="20"/>
              </w:rPr>
              <w:t xml:space="preserve">Other income from </w:t>
            </w:r>
            <w:r>
              <w:rPr>
                <w:b/>
                <w:bCs/>
                <w:sz w:val="20"/>
              </w:rPr>
              <w:t>operating activities</w:t>
            </w:r>
            <w:r w:rsidRPr="00B34608">
              <w:rPr>
                <w:b/>
                <w:sz w:val="20"/>
              </w:rPr>
              <w:t xml:space="preserve"> </w:t>
            </w:r>
            <w:r>
              <w:rPr>
                <w:b/>
                <w:sz w:val="20"/>
              </w:rPr>
              <w:t>to be transferred into the Budget</w:t>
            </w:r>
          </w:p>
        </w:tc>
        <w:tc>
          <w:tcPr>
            <w:tcW w:w="1781" w:type="dxa"/>
            <w:tcBorders>
              <w:top w:val="single" w:sz="4" w:space="0" w:color="auto"/>
              <w:left w:val="nil"/>
              <w:bottom w:val="single" w:sz="4" w:space="0" w:color="auto"/>
              <w:right w:val="single" w:sz="4" w:space="0" w:color="auto"/>
            </w:tcBorders>
            <w:shd w:val="clear" w:color="000000" w:fill="FFFFFF"/>
            <w:vAlign w:val="center"/>
          </w:tcPr>
          <w:p w:rsidR="00D2569B" w:rsidRPr="00B34608" w:rsidRDefault="00D2569B" w:rsidP="00B80A35">
            <w:pPr>
              <w:tabs>
                <w:tab w:val="left" w:pos="0"/>
              </w:tabs>
              <w:jc w:val="right"/>
              <w:rPr>
                <w:sz w:val="20"/>
              </w:rPr>
            </w:pPr>
          </w:p>
        </w:tc>
        <w:tc>
          <w:tcPr>
            <w:tcW w:w="1807"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B80A35">
            <w:pPr>
              <w:tabs>
                <w:tab w:val="left" w:pos="0"/>
              </w:tabs>
              <w:jc w:val="right"/>
              <w:rPr>
                <w:sz w:val="20"/>
              </w:rPr>
            </w:pPr>
          </w:p>
        </w:tc>
      </w:tr>
      <w:tr w:rsidR="00D2569B" w:rsidRPr="00B34608" w:rsidTr="00430C6C">
        <w:trPr>
          <w:trHeight w:val="257"/>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2569B" w:rsidRPr="00B34608" w:rsidRDefault="00D2569B" w:rsidP="009F20FD">
            <w:pPr>
              <w:tabs>
                <w:tab w:val="left" w:pos="0"/>
              </w:tabs>
              <w:jc w:val="center"/>
              <w:rPr>
                <w:b/>
                <w:sz w:val="20"/>
              </w:rPr>
            </w:pPr>
            <w:r w:rsidRPr="00B34608">
              <w:rPr>
                <w:b/>
                <w:sz w:val="20"/>
              </w:rPr>
              <w:t>3.</w:t>
            </w:r>
          </w:p>
        </w:tc>
        <w:tc>
          <w:tcPr>
            <w:tcW w:w="5372"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DF71F4">
            <w:pPr>
              <w:tabs>
                <w:tab w:val="left" w:pos="0"/>
              </w:tabs>
              <w:rPr>
                <w:b/>
                <w:sz w:val="20"/>
              </w:rPr>
            </w:pPr>
            <w:r>
              <w:rPr>
                <w:b/>
                <w:sz w:val="20"/>
              </w:rPr>
              <w:t xml:space="preserve">Other income from </w:t>
            </w:r>
            <w:r>
              <w:rPr>
                <w:b/>
                <w:bCs/>
                <w:sz w:val="20"/>
              </w:rPr>
              <w:t>operating activities</w:t>
            </w:r>
            <w:r w:rsidRPr="00B34608">
              <w:rPr>
                <w:b/>
                <w:sz w:val="20"/>
              </w:rPr>
              <w:t xml:space="preserve">: </w:t>
            </w:r>
          </w:p>
        </w:tc>
        <w:tc>
          <w:tcPr>
            <w:tcW w:w="1781" w:type="dxa"/>
            <w:tcBorders>
              <w:top w:val="single" w:sz="4" w:space="0" w:color="auto"/>
              <w:left w:val="nil"/>
              <w:bottom w:val="single" w:sz="4" w:space="0" w:color="auto"/>
              <w:right w:val="single" w:sz="4" w:space="0" w:color="auto"/>
            </w:tcBorders>
            <w:shd w:val="clear" w:color="000000" w:fill="FFFFFF"/>
            <w:vAlign w:val="center"/>
          </w:tcPr>
          <w:p w:rsidR="00D2569B" w:rsidRPr="00B34608" w:rsidRDefault="00D2569B" w:rsidP="00B80A35">
            <w:pPr>
              <w:tabs>
                <w:tab w:val="left" w:pos="0"/>
              </w:tabs>
              <w:jc w:val="right"/>
              <w:rPr>
                <w:b/>
                <w:sz w:val="20"/>
              </w:rPr>
            </w:pPr>
            <w:r>
              <w:rPr>
                <w:b/>
                <w:sz w:val="20"/>
              </w:rPr>
              <w:t>21,</w:t>
            </w:r>
            <w:r w:rsidRPr="00B34608">
              <w:rPr>
                <w:b/>
                <w:sz w:val="20"/>
              </w:rPr>
              <w:t>986</w:t>
            </w:r>
            <w:r>
              <w:rPr>
                <w:b/>
                <w:sz w:val="20"/>
              </w:rPr>
              <w:t>,</w:t>
            </w:r>
            <w:r w:rsidRPr="00B34608">
              <w:rPr>
                <w:b/>
                <w:sz w:val="20"/>
              </w:rPr>
              <w:t>526</w:t>
            </w:r>
          </w:p>
        </w:tc>
        <w:tc>
          <w:tcPr>
            <w:tcW w:w="1807"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B80A35">
            <w:pPr>
              <w:tabs>
                <w:tab w:val="left" w:pos="0"/>
              </w:tabs>
              <w:jc w:val="right"/>
              <w:rPr>
                <w:b/>
                <w:sz w:val="20"/>
              </w:rPr>
            </w:pPr>
            <w:r>
              <w:rPr>
                <w:b/>
                <w:sz w:val="20"/>
              </w:rPr>
              <w:t>32,</w:t>
            </w:r>
            <w:r w:rsidRPr="00B34608">
              <w:rPr>
                <w:b/>
                <w:sz w:val="20"/>
              </w:rPr>
              <w:t>471</w:t>
            </w:r>
            <w:r>
              <w:rPr>
                <w:b/>
                <w:sz w:val="20"/>
              </w:rPr>
              <w:t>,</w:t>
            </w:r>
            <w:r w:rsidRPr="00B34608">
              <w:rPr>
                <w:b/>
                <w:sz w:val="20"/>
              </w:rPr>
              <w:t>519</w:t>
            </w:r>
          </w:p>
        </w:tc>
      </w:tr>
      <w:tr w:rsidR="00D2569B" w:rsidRPr="00B34608" w:rsidTr="00430C6C">
        <w:trPr>
          <w:trHeight w:val="257"/>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2569B" w:rsidRPr="00B34608" w:rsidRDefault="00D2569B" w:rsidP="00474860">
            <w:pPr>
              <w:tabs>
                <w:tab w:val="left" w:pos="0"/>
              </w:tabs>
              <w:jc w:val="center"/>
              <w:rPr>
                <w:i/>
                <w:sz w:val="20"/>
              </w:rPr>
            </w:pPr>
            <w:r w:rsidRPr="00B34608">
              <w:rPr>
                <w:i/>
                <w:sz w:val="20"/>
              </w:rPr>
              <w:t>3.1.</w:t>
            </w:r>
          </w:p>
        </w:tc>
        <w:tc>
          <w:tcPr>
            <w:tcW w:w="5372"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474860">
            <w:pPr>
              <w:tabs>
                <w:tab w:val="left" w:pos="0"/>
              </w:tabs>
              <w:rPr>
                <w:i/>
                <w:sz w:val="20"/>
              </w:rPr>
            </w:pPr>
            <w:r>
              <w:rPr>
                <w:i/>
                <w:sz w:val="20"/>
              </w:rPr>
              <w:t>Insurance contributions of banks</w:t>
            </w:r>
          </w:p>
        </w:tc>
        <w:tc>
          <w:tcPr>
            <w:tcW w:w="1781" w:type="dxa"/>
            <w:tcBorders>
              <w:top w:val="single" w:sz="4" w:space="0" w:color="auto"/>
              <w:left w:val="nil"/>
              <w:bottom w:val="single" w:sz="4" w:space="0" w:color="auto"/>
              <w:right w:val="single" w:sz="4" w:space="0" w:color="auto"/>
            </w:tcBorders>
            <w:shd w:val="clear" w:color="000000" w:fill="FFFFFF"/>
            <w:vAlign w:val="center"/>
          </w:tcPr>
          <w:p w:rsidR="00D2569B" w:rsidRPr="00B34608" w:rsidRDefault="00D2569B" w:rsidP="00474860">
            <w:pPr>
              <w:tabs>
                <w:tab w:val="left" w:pos="0"/>
              </w:tabs>
              <w:jc w:val="right"/>
              <w:rPr>
                <w:i/>
                <w:sz w:val="20"/>
              </w:rPr>
            </w:pPr>
            <w:r>
              <w:rPr>
                <w:i/>
                <w:sz w:val="20"/>
              </w:rPr>
              <w:t>20,</w:t>
            </w:r>
            <w:r w:rsidRPr="00B34608">
              <w:rPr>
                <w:i/>
                <w:sz w:val="20"/>
              </w:rPr>
              <w:t>737</w:t>
            </w:r>
            <w:r>
              <w:rPr>
                <w:i/>
                <w:sz w:val="20"/>
              </w:rPr>
              <w:t>,</w:t>
            </w:r>
            <w:r w:rsidRPr="00B34608">
              <w:rPr>
                <w:i/>
                <w:sz w:val="20"/>
              </w:rPr>
              <w:t>612</w:t>
            </w:r>
          </w:p>
        </w:tc>
        <w:tc>
          <w:tcPr>
            <w:tcW w:w="1807"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474860">
            <w:pPr>
              <w:tabs>
                <w:tab w:val="left" w:pos="0"/>
              </w:tabs>
              <w:jc w:val="right"/>
              <w:rPr>
                <w:i/>
                <w:sz w:val="20"/>
              </w:rPr>
            </w:pPr>
            <w:r w:rsidRPr="00B34608">
              <w:rPr>
                <w:i/>
                <w:sz w:val="20"/>
              </w:rPr>
              <w:t>30</w:t>
            </w:r>
            <w:r>
              <w:rPr>
                <w:i/>
                <w:sz w:val="20"/>
              </w:rPr>
              <w:t>,</w:t>
            </w:r>
            <w:r w:rsidRPr="00B34608">
              <w:rPr>
                <w:i/>
                <w:sz w:val="20"/>
              </w:rPr>
              <w:t>554</w:t>
            </w:r>
            <w:r>
              <w:rPr>
                <w:i/>
                <w:sz w:val="20"/>
              </w:rPr>
              <w:t>,</w:t>
            </w:r>
            <w:r w:rsidRPr="00B34608">
              <w:rPr>
                <w:i/>
                <w:sz w:val="20"/>
              </w:rPr>
              <w:t>502</w:t>
            </w:r>
          </w:p>
        </w:tc>
      </w:tr>
      <w:tr w:rsidR="00D2569B" w:rsidRPr="00B34608" w:rsidTr="00430C6C">
        <w:trPr>
          <w:trHeight w:val="257"/>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2569B" w:rsidRPr="00B34608" w:rsidRDefault="00D2569B" w:rsidP="00474860">
            <w:pPr>
              <w:tabs>
                <w:tab w:val="left" w:pos="0"/>
              </w:tabs>
              <w:jc w:val="center"/>
              <w:rPr>
                <w:i/>
                <w:sz w:val="20"/>
              </w:rPr>
            </w:pPr>
            <w:r w:rsidRPr="00B34608">
              <w:rPr>
                <w:i/>
                <w:sz w:val="20"/>
              </w:rPr>
              <w:t>3.2.</w:t>
            </w:r>
          </w:p>
        </w:tc>
        <w:tc>
          <w:tcPr>
            <w:tcW w:w="5372" w:type="dxa"/>
            <w:tcBorders>
              <w:top w:val="single" w:sz="4" w:space="0" w:color="auto"/>
              <w:left w:val="nil"/>
              <w:bottom w:val="single" w:sz="4" w:space="0" w:color="auto"/>
              <w:right w:val="single" w:sz="4" w:space="0" w:color="auto"/>
            </w:tcBorders>
            <w:shd w:val="clear" w:color="000000" w:fill="FFFFFF"/>
            <w:vAlign w:val="bottom"/>
          </w:tcPr>
          <w:p w:rsidR="00D2569B" w:rsidRPr="00B34608" w:rsidRDefault="00D2569B" w:rsidP="00474860">
            <w:pPr>
              <w:tabs>
                <w:tab w:val="left" w:pos="0"/>
              </w:tabs>
              <w:rPr>
                <w:i/>
                <w:sz w:val="20"/>
              </w:rPr>
            </w:pPr>
            <w:r>
              <w:rPr>
                <w:i/>
                <w:sz w:val="20"/>
              </w:rPr>
              <w:t>Insurance contributions of credit unions</w:t>
            </w:r>
          </w:p>
        </w:tc>
        <w:tc>
          <w:tcPr>
            <w:tcW w:w="1781" w:type="dxa"/>
            <w:tcBorders>
              <w:top w:val="single" w:sz="4" w:space="0" w:color="auto"/>
              <w:left w:val="nil"/>
              <w:bottom w:val="single" w:sz="4" w:space="0" w:color="auto"/>
              <w:right w:val="single" w:sz="4" w:space="0" w:color="auto"/>
            </w:tcBorders>
            <w:shd w:val="clear" w:color="000000" w:fill="FFFFFF"/>
            <w:vAlign w:val="center"/>
          </w:tcPr>
          <w:p w:rsidR="00D2569B" w:rsidRPr="00B34608" w:rsidRDefault="00D2569B" w:rsidP="00474860">
            <w:pPr>
              <w:tabs>
                <w:tab w:val="left" w:pos="0"/>
              </w:tabs>
              <w:jc w:val="right"/>
              <w:rPr>
                <w:i/>
                <w:sz w:val="20"/>
              </w:rPr>
            </w:pPr>
            <w:r w:rsidRPr="00B34608">
              <w:rPr>
                <w:i/>
                <w:sz w:val="20"/>
              </w:rPr>
              <w:t>1</w:t>
            </w:r>
            <w:r>
              <w:rPr>
                <w:i/>
                <w:sz w:val="20"/>
              </w:rPr>
              <w:t>,</w:t>
            </w:r>
            <w:r w:rsidRPr="00B34608">
              <w:rPr>
                <w:i/>
                <w:sz w:val="20"/>
              </w:rPr>
              <w:t>248</w:t>
            </w:r>
            <w:r>
              <w:rPr>
                <w:i/>
                <w:sz w:val="20"/>
              </w:rPr>
              <w:t>,</w:t>
            </w:r>
            <w:r w:rsidRPr="00B34608">
              <w:rPr>
                <w:i/>
                <w:sz w:val="20"/>
              </w:rPr>
              <w:t>914</w:t>
            </w:r>
          </w:p>
        </w:tc>
        <w:tc>
          <w:tcPr>
            <w:tcW w:w="1807" w:type="dxa"/>
            <w:tcBorders>
              <w:top w:val="single" w:sz="4" w:space="0" w:color="auto"/>
              <w:left w:val="nil"/>
              <w:bottom w:val="single" w:sz="4" w:space="0" w:color="auto"/>
              <w:right w:val="single" w:sz="4" w:space="0" w:color="auto"/>
            </w:tcBorders>
            <w:shd w:val="clear" w:color="000000" w:fill="FFFFFF"/>
          </w:tcPr>
          <w:p w:rsidR="00D2569B" w:rsidRPr="00B34608" w:rsidRDefault="00D2569B" w:rsidP="00AC7885">
            <w:pPr>
              <w:tabs>
                <w:tab w:val="left" w:pos="0"/>
              </w:tabs>
              <w:jc w:val="right"/>
              <w:rPr>
                <w:i/>
                <w:sz w:val="20"/>
              </w:rPr>
            </w:pPr>
            <w:r w:rsidRPr="00B34608">
              <w:rPr>
                <w:i/>
                <w:sz w:val="20"/>
              </w:rPr>
              <w:t>1</w:t>
            </w:r>
            <w:r>
              <w:rPr>
                <w:i/>
                <w:sz w:val="20"/>
              </w:rPr>
              <w:t>,</w:t>
            </w:r>
            <w:r w:rsidRPr="00B34608">
              <w:rPr>
                <w:i/>
                <w:sz w:val="20"/>
              </w:rPr>
              <w:t>917</w:t>
            </w:r>
            <w:r>
              <w:rPr>
                <w:i/>
                <w:sz w:val="20"/>
              </w:rPr>
              <w:t>,</w:t>
            </w:r>
            <w:r w:rsidRPr="00B34608">
              <w:rPr>
                <w:i/>
                <w:sz w:val="20"/>
              </w:rPr>
              <w:t>017</w:t>
            </w:r>
          </w:p>
        </w:tc>
      </w:tr>
      <w:tr w:rsidR="00D2569B" w:rsidRPr="00B34608" w:rsidTr="00BA5A6C">
        <w:trPr>
          <w:trHeight w:val="257"/>
        </w:trPr>
        <w:tc>
          <w:tcPr>
            <w:tcW w:w="236" w:type="dxa"/>
            <w:tcBorders>
              <w:top w:val="nil"/>
              <w:left w:val="nil"/>
              <w:bottom w:val="nil"/>
              <w:right w:val="nil"/>
            </w:tcBorders>
            <w:shd w:val="clear" w:color="000000" w:fill="FFFFFF"/>
          </w:tcPr>
          <w:p w:rsidR="00D2569B" w:rsidRPr="00B34608" w:rsidRDefault="00D2569B" w:rsidP="005D53CA">
            <w:pPr>
              <w:spacing w:before="400"/>
              <w:ind w:hanging="250"/>
              <w:jc w:val="both"/>
              <w:rPr>
                <w:b/>
                <w:sz w:val="24"/>
                <w:szCs w:val="24"/>
              </w:rPr>
            </w:pPr>
          </w:p>
          <w:p w:rsidR="00D2569B" w:rsidRPr="00B34608" w:rsidRDefault="00D2569B" w:rsidP="005D53CA">
            <w:pPr>
              <w:spacing w:before="400"/>
              <w:ind w:hanging="250"/>
              <w:jc w:val="both"/>
              <w:rPr>
                <w:b/>
                <w:sz w:val="24"/>
                <w:szCs w:val="24"/>
              </w:rPr>
            </w:pPr>
          </w:p>
          <w:p w:rsidR="00D2569B" w:rsidRPr="00B34608" w:rsidRDefault="00D2569B" w:rsidP="005D53CA">
            <w:pPr>
              <w:spacing w:before="400"/>
              <w:ind w:hanging="250"/>
              <w:jc w:val="both"/>
              <w:rPr>
                <w:b/>
                <w:sz w:val="24"/>
                <w:szCs w:val="24"/>
              </w:rPr>
            </w:pPr>
          </w:p>
          <w:p w:rsidR="00D2569B" w:rsidRPr="00B34608" w:rsidRDefault="00D2569B" w:rsidP="005D53CA">
            <w:pPr>
              <w:spacing w:before="400"/>
              <w:ind w:hanging="250"/>
              <w:jc w:val="both"/>
              <w:rPr>
                <w:b/>
                <w:sz w:val="24"/>
                <w:szCs w:val="24"/>
              </w:rPr>
            </w:pPr>
          </w:p>
          <w:p w:rsidR="00D2569B" w:rsidRPr="00B34608" w:rsidRDefault="00D2569B" w:rsidP="005D53CA">
            <w:pPr>
              <w:spacing w:before="400"/>
              <w:ind w:hanging="250"/>
              <w:jc w:val="both"/>
              <w:rPr>
                <w:b/>
                <w:sz w:val="24"/>
                <w:szCs w:val="24"/>
              </w:rPr>
            </w:pPr>
          </w:p>
        </w:tc>
        <w:tc>
          <w:tcPr>
            <w:tcW w:w="9433" w:type="dxa"/>
            <w:gridSpan w:val="4"/>
            <w:tcBorders>
              <w:top w:val="nil"/>
              <w:left w:val="nil"/>
              <w:bottom w:val="nil"/>
              <w:right w:val="nil"/>
            </w:tcBorders>
            <w:shd w:val="clear" w:color="000000" w:fill="FFFFFF"/>
            <w:vAlign w:val="bottom"/>
          </w:tcPr>
          <w:p w:rsidR="00D2569B" w:rsidRPr="00B34608" w:rsidRDefault="00D2569B" w:rsidP="00AF53AE">
            <w:pPr>
              <w:spacing w:before="400"/>
              <w:ind w:hanging="60"/>
              <w:jc w:val="both"/>
              <w:rPr>
                <w:sz w:val="24"/>
                <w:szCs w:val="24"/>
              </w:rPr>
            </w:pPr>
            <w:bookmarkStart w:id="33" w:name="_Toc434332059"/>
            <w:bookmarkStart w:id="34" w:name="_Toc441582350"/>
            <w:r>
              <w:rPr>
                <w:b/>
                <w:sz w:val="24"/>
                <w:szCs w:val="24"/>
              </w:rPr>
              <w:t xml:space="preserve">Note </w:t>
            </w:r>
            <w:r w:rsidRPr="00B34608">
              <w:rPr>
                <w:b/>
                <w:sz w:val="24"/>
                <w:szCs w:val="24"/>
              </w:rPr>
              <w:t>9</w:t>
            </w:r>
            <w:r>
              <w:rPr>
                <w:b/>
                <w:sz w:val="24"/>
                <w:szCs w:val="24"/>
              </w:rPr>
              <w:t>. Operating activity expenses</w:t>
            </w:r>
          </w:p>
          <w:p w:rsidR="00D2569B" w:rsidRPr="00B34608" w:rsidRDefault="00D2569B" w:rsidP="005D53CA">
            <w:pPr>
              <w:ind w:hanging="250"/>
              <w:jc w:val="both"/>
              <w:rPr>
                <w:bCs/>
                <w:szCs w:val="22"/>
                <w:lang w:eastAsia="lt-LT"/>
              </w:rPr>
            </w:pPr>
          </w:p>
          <w:p w:rsidR="00D2569B" w:rsidRPr="00B34608" w:rsidRDefault="00D2569B" w:rsidP="00CD17A9">
            <w:pPr>
              <w:ind w:left="-315"/>
              <w:jc w:val="both"/>
              <w:rPr>
                <w:bCs/>
                <w:szCs w:val="22"/>
                <w:lang w:eastAsia="lt-LT"/>
              </w:rPr>
            </w:pPr>
            <w:r w:rsidRPr="00B34608">
              <w:rPr>
                <w:bCs/>
                <w:szCs w:val="22"/>
                <w:lang w:eastAsia="lt-LT"/>
              </w:rPr>
              <w:t xml:space="preserve">         </w:t>
            </w:r>
            <w:r>
              <w:rPr>
                <w:bCs/>
                <w:szCs w:val="22"/>
                <w:lang w:eastAsia="lt-LT"/>
              </w:rPr>
              <w:t xml:space="preserve">The amount of operating activity expenses totalled </w:t>
            </w:r>
            <w:r w:rsidRPr="00B34608">
              <w:rPr>
                <w:bCs/>
                <w:szCs w:val="22"/>
                <w:lang w:eastAsia="lt-LT"/>
              </w:rPr>
              <w:t>(-)</w:t>
            </w:r>
            <w:r>
              <w:rPr>
                <w:bCs/>
                <w:szCs w:val="22"/>
                <w:lang w:eastAsia="lt-LT"/>
              </w:rPr>
              <w:t xml:space="preserve"> EUR </w:t>
            </w:r>
            <w:r w:rsidRPr="00B34608">
              <w:rPr>
                <w:bCs/>
                <w:szCs w:val="22"/>
                <w:lang w:eastAsia="lt-LT"/>
              </w:rPr>
              <w:t>37</w:t>
            </w:r>
            <w:r>
              <w:rPr>
                <w:bCs/>
                <w:szCs w:val="22"/>
                <w:lang w:eastAsia="lt-LT"/>
              </w:rPr>
              <w:t>,</w:t>
            </w:r>
            <w:r w:rsidRPr="00B34608">
              <w:rPr>
                <w:bCs/>
                <w:szCs w:val="22"/>
                <w:lang w:eastAsia="lt-LT"/>
              </w:rPr>
              <w:t>708</w:t>
            </w:r>
            <w:r>
              <w:rPr>
                <w:bCs/>
                <w:szCs w:val="22"/>
                <w:lang w:eastAsia="lt-LT"/>
              </w:rPr>
              <w:t>,</w:t>
            </w:r>
            <w:r w:rsidRPr="00B34608">
              <w:rPr>
                <w:bCs/>
                <w:szCs w:val="22"/>
                <w:lang w:eastAsia="lt-LT"/>
              </w:rPr>
              <w:t>036</w:t>
            </w:r>
            <w:r>
              <w:rPr>
                <w:bCs/>
                <w:szCs w:val="22"/>
                <w:lang w:eastAsia="lt-LT"/>
              </w:rPr>
              <w:t xml:space="preserve">; the calculated share of credit claim – EUR </w:t>
            </w:r>
            <w:r w:rsidRPr="00B34608">
              <w:rPr>
                <w:bCs/>
                <w:szCs w:val="22"/>
                <w:lang w:eastAsia="lt-LT"/>
              </w:rPr>
              <w:t>45</w:t>
            </w:r>
            <w:r>
              <w:rPr>
                <w:bCs/>
                <w:szCs w:val="22"/>
                <w:lang w:eastAsia="lt-LT"/>
              </w:rPr>
              <w:t>,</w:t>
            </w:r>
            <w:r w:rsidRPr="00B34608">
              <w:rPr>
                <w:bCs/>
                <w:szCs w:val="22"/>
                <w:lang w:eastAsia="lt-LT"/>
              </w:rPr>
              <w:t>662</w:t>
            </w:r>
            <w:r>
              <w:rPr>
                <w:bCs/>
                <w:szCs w:val="22"/>
                <w:lang w:eastAsia="lt-LT"/>
              </w:rPr>
              <w:t>,</w:t>
            </w:r>
            <w:r w:rsidRPr="00B34608">
              <w:rPr>
                <w:bCs/>
                <w:szCs w:val="22"/>
                <w:lang w:eastAsia="lt-LT"/>
              </w:rPr>
              <w:t>300</w:t>
            </w:r>
            <w:r>
              <w:rPr>
                <w:bCs/>
                <w:szCs w:val="22"/>
                <w:lang w:eastAsia="lt-LT"/>
              </w:rPr>
              <w:t xml:space="preserve"> and the positive amount of expenses is EUR</w:t>
            </w:r>
            <w:r w:rsidRPr="00B34608">
              <w:rPr>
                <w:bCs/>
                <w:szCs w:val="22"/>
                <w:lang w:eastAsia="lt-LT"/>
              </w:rPr>
              <w:t xml:space="preserve"> 7</w:t>
            </w:r>
            <w:r>
              <w:rPr>
                <w:bCs/>
                <w:szCs w:val="22"/>
                <w:lang w:eastAsia="lt-LT"/>
              </w:rPr>
              <w:t>,</w:t>
            </w:r>
            <w:r w:rsidRPr="00B34608">
              <w:rPr>
                <w:bCs/>
                <w:szCs w:val="22"/>
                <w:lang w:eastAsia="lt-LT"/>
              </w:rPr>
              <w:t>954</w:t>
            </w:r>
            <w:r>
              <w:rPr>
                <w:bCs/>
                <w:szCs w:val="22"/>
                <w:lang w:eastAsia="lt-LT"/>
              </w:rPr>
              <w:t>,</w:t>
            </w:r>
            <w:r w:rsidRPr="00B34608">
              <w:rPr>
                <w:bCs/>
                <w:szCs w:val="22"/>
                <w:lang w:eastAsia="lt-LT"/>
              </w:rPr>
              <w:t>264 (</w:t>
            </w:r>
            <w:r>
              <w:rPr>
                <w:bCs/>
                <w:szCs w:val="22"/>
                <w:lang w:eastAsia="lt-LT"/>
              </w:rPr>
              <w:t>see Table</w:t>
            </w:r>
            <w:r w:rsidRPr="00B34608">
              <w:rPr>
                <w:bCs/>
                <w:szCs w:val="22"/>
                <w:lang w:eastAsia="lt-LT"/>
              </w:rPr>
              <w:t xml:space="preserve"> 8). </w:t>
            </w:r>
          </w:p>
          <w:p w:rsidR="00D2569B" w:rsidRPr="00B34608" w:rsidRDefault="00D2569B" w:rsidP="002426C4">
            <w:pPr>
              <w:jc w:val="both"/>
              <w:rPr>
                <w:bCs/>
                <w:szCs w:val="22"/>
                <w:lang w:eastAsia="lt-LT"/>
              </w:rPr>
            </w:pPr>
          </w:p>
          <w:p w:rsidR="00D2569B" w:rsidRPr="00B34608" w:rsidRDefault="00D2569B" w:rsidP="002426C4">
            <w:pPr>
              <w:jc w:val="both"/>
              <w:rPr>
                <w:i/>
                <w:szCs w:val="22"/>
              </w:rPr>
            </w:pPr>
            <w:r>
              <w:rPr>
                <w:i/>
                <w:szCs w:val="22"/>
              </w:rPr>
              <w:t xml:space="preserve">Table </w:t>
            </w:r>
            <w:r w:rsidRPr="00B34608">
              <w:rPr>
                <w:i/>
                <w:szCs w:val="22"/>
              </w:rPr>
              <w:t>8</w:t>
            </w:r>
            <w:r>
              <w:rPr>
                <w:i/>
                <w:szCs w:val="22"/>
              </w:rPr>
              <w:t>. Operating activity expenses</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5601"/>
              <w:gridCol w:w="1515"/>
              <w:gridCol w:w="1560"/>
            </w:tblGrid>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9966A3">
                  <w:pPr>
                    <w:tabs>
                      <w:tab w:val="left" w:pos="0"/>
                    </w:tabs>
                    <w:jc w:val="center"/>
                    <w:rPr>
                      <w:b/>
                      <w:bCs/>
                      <w:sz w:val="20"/>
                    </w:rPr>
                  </w:pPr>
                  <w:r>
                    <w:rPr>
                      <w:b/>
                      <w:bCs/>
                      <w:sz w:val="20"/>
                    </w:rPr>
                    <w:t>Seq. No</w:t>
                  </w:r>
                </w:p>
              </w:tc>
              <w:tc>
                <w:tcPr>
                  <w:tcW w:w="5601"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9966A3">
                  <w:pPr>
                    <w:tabs>
                      <w:tab w:val="left" w:pos="0"/>
                    </w:tabs>
                    <w:jc w:val="center"/>
                    <w:rPr>
                      <w:b/>
                      <w:bCs/>
                      <w:sz w:val="20"/>
                    </w:rPr>
                  </w:pPr>
                  <w:r>
                    <w:rPr>
                      <w:b/>
                      <w:bCs/>
                      <w:sz w:val="20"/>
                    </w:rPr>
                    <w:t>Item</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9966A3">
                  <w:pPr>
                    <w:tabs>
                      <w:tab w:val="left" w:pos="0"/>
                    </w:tabs>
                    <w:jc w:val="center"/>
                    <w:rPr>
                      <w:b/>
                      <w:bCs/>
                      <w:sz w:val="20"/>
                    </w:rPr>
                  </w:pPr>
                  <w:r>
                    <w:rPr>
                      <w:b/>
                      <w:bCs/>
                      <w:sz w:val="20"/>
                    </w:rPr>
                    <w:t xml:space="preserve">31 12 </w:t>
                  </w:r>
                  <w:r w:rsidRPr="00B34608">
                    <w:rPr>
                      <w:b/>
                      <w:bCs/>
                      <w:sz w:val="20"/>
                    </w:rPr>
                    <w:t>2017</w:t>
                  </w:r>
                </w:p>
              </w:tc>
              <w:tc>
                <w:tcPr>
                  <w:tcW w:w="1560"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9966A3">
                  <w:pPr>
                    <w:tabs>
                      <w:tab w:val="left" w:pos="0"/>
                    </w:tabs>
                    <w:jc w:val="center"/>
                    <w:rPr>
                      <w:b/>
                      <w:bCs/>
                      <w:sz w:val="20"/>
                    </w:rPr>
                  </w:pPr>
                  <w:r>
                    <w:rPr>
                      <w:b/>
                      <w:bCs/>
                      <w:sz w:val="20"/>
                    </w:rPr>
                    <w:t xml:space="preserve">31 12 </w:t>
                  </w:r>
                  <w:r w:rsidRPr="00B34608">
                    <w:rPr>
                      <w:b/>
                      <w:bCs/>
                      <w:sz w:val="20"/>
                    </w:rPr>
                    <w:t>201</w:t>
                  </w:r>
                  <w:r>
                    <w:rPr>
                      <w:b/>
                      <w:bCs/>
                      <w:sz w:val="20"/>
                    </w:rPr>
                    <w:t>6</w:t>
                  </w: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tabs>
                      <w:tab w:val="left" w:pos="253"/>
                    </w:tabs>
                    <w:ind w:hanging="185"/>
                    <w:jc w:val="center"/>
                    <w:rPr>
                      <w:sz w:val="20"/>
                    </w:rPr>
                  </w:pPr>
                  <w:r w:rsidRPr="00B34608">
                    <w:rPr>
                      <w:sz w:val="20"/>
                    </w:rPr>
                    <w:t>1</w:t>
                  </w:r>
                </w:p>
              </w:tc>
              <w:tc>
                <w:tcPr>
                  <w:tcW w:w="5601"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tabs>
                      <w:tab w:val="left" w:pos="0"/>
                    </w:tabs>
                    <w:ind w:left="34"/>
                    <w:jc w:val="center"/>
                    <w:rPr>
                      <w:sz w:val="20"/>
                    </w:rPr>
                  </w:pPr>
                  <w:r w:rsidRPr="00B34608">
                    <w:rPr>
                      <w:sz w:val="20"/>
                    </w:rPr>
                    <w:t>2</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tabs>
                      <w:tab w:val="left" w:pos="0"/>
                    </w:tabs>
                    <w:jc w:val="center"/>
                    <w:rPr>
                      <w:sz w:val="20"/>
                    </w:rPr>
                  </w:pPr>
                  <w:r w:rsidRPr="00B34608">
                    <w:rPr>
                      <w:sz w:val="20"/>
                    </w:rPr>
                    <w:t>3</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tabs>
                      <w:tab w:val="left" w:pos="0"/>
                    </w:tabs>
                    <w:ind w:right="33"/>
                    <w:jc w:val="center"/>
                    <w:rPr>
                      <w:sz w:val="20"/>
                    </w:rPr>
                  </w:pPr>
                  <w:r w:rsidRPr="00B34608">
                    <w:rPr>
                      <w:sz w:val="20"/>
                    </w:rPr>
                    <w:t>4</w:t>
                  </w: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bCs/>
                      <w:sz w:val="20"/>
                    </w:rPr>
                  </w:pPr>
                  <w:r w:rsidRPr="00B34608">
                    <w:rPr>
                      <w:bCs/>
                      <w:sz w:val="20"/>
                    </w:rPr>
                    <w:t>1.</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bCs/>
                      <w:sz w:val="20"/>
                    </w:rPr>
                  </w:pPr>
                  <w:r>
                    <w:rPr>
                      <w:bCs/>
                      <w:sz w:val="20"/>
                    </w:rPr>
                    <w:t>Depreciation and written-off amounts</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sz w:val="20"/>
                      <w:lang w:eastAsia="lt-LT"/>
                    </w:rPr>
                  </w:pP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tabs>
                      <w:tab w:val="left" w:pos="1103"/>
                    </w:tabs>
                    <w:ind w:right="33"/>
                    <w:jc w:val="right"/>
                    <w:rPr>
                      <w:bCs/>
                      <w:sz w:val="20"/>
                      <w:lang w:eastAsia="lt-LT"/>
                    </w:rPr>
                  </w:pP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sz w:val="20"/>
                    </w:rPr>
                  </w:pPr>
                  <w:r w:rsidRPr="00B34608">
                    <w:rPr>
                      <w:sz w:val="20"/>
                    </w:rPr>
                    <w:t>2.</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sz w:val="20"/>
                    </w:rPr>
                  </w:pPr>
                  <w:r>
                    <w:rPr>
                      <w:sz w:val="20"/>
                    </w:rPr>
                    <w:t>Social benefits</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sz w:val="20"/>
                      <w:lang w:eastAsia="lt-LT"/>
                    </w:rPr>
                  </w:pP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Cs/>
                      <w:sz w:val="20"/>
                      <w:lang w:eastAsia="lt-LT"/>
                    </w:rPr>
                  </w:pP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sz w:val="20"/>
                    </w:rPr>
                  </w:pPr>
                  <w:r w:rsidRPr="00B34608">
                    <w:rPr>
                      <w:sz w:val="20"/>
                    </w:rPr>
                    <w:t>3.</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sz w:val="20"/>
                    </w:rPr>
                  </w:pPr>
                  <w:r w:rsidRPr="00B34608">
                    <w:rPr>
                      <w:sz w:val="20"/>
                    </w:rPr>
                    <w:t>Finan</w:t>
                  </w:r>
                  <w:r>
                    <w:rPr>
                      <w:sz w:val="20"/>
                    </w:rPr>
                    <w:t>cing</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sz w:val="20"/>
                      <w:lang w:eastAsia="lt-LT"/>
                    </w:rPr>
                  </w:pP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Cs/>
                      <w:sz w:val="20"/>
                      <w:lang w:eastAsia="lt-LT"/>
                    </w:rPr>
                  </w:pP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sz w:val="20"/>
                    </w:rPr>
                  </w:pPr>
                  <w:r w:rsidRPr="00B34608">
                    <w:rPr>
                      <w:sz w:val="20"/>
                    </w:rPr>
                    <w:t>4.</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sz w:val="20"/>
                    </w:rPr>
                  </w:pPr>
                  <w:r>
                    <w:rPr>
                      <w:sz w:val="20"/>
                    </w:rPr>
                    <w:t>Other</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
                      <w:bCs/>
                      <w:sz w:val="20"/>
                      <w:lang w:eastAsia="lt-LT"/>
                    </w:rPr>
                  </w:pPr>
                  <w:r>
                    <w:rPr>
                      <w:b/>
                      <w:bCs/>
                      <w:sz w:val="20"/>
                      <w:lang w:eastAsia="lt-LT"/>
                    </w:rPr>
                    <w:t>7,</w:t>
                  </w:r>
                  <w:r w:rsidRPr="00B34608">
                    <w:rPr>
                      <w:b/>
                      <w:bCs/>
                      <w:sz w:val="20"/>
                      <w:lang w:eastAsia="lt-LT"/>
                    </w:rPr>
                    <w:t>954</w:t>
                  </w:r>
                  <w:r>
                    <w:rPr>
                      <w:b/>
                      <w:bCs/>
                      <w:sz w:val="20"/>
                      <w:lang w:eastAsia="lt-LT"/>
                    </w:rPr>
                    <w:t>,</w:t>
                  </w:r>
                  <w:r w:rsidRPr="00B34608">
                    <w:rPr>
                      <w:b/>
                      <w:bCs/>
                      <w:sz w:val="20"/>
                      <w:lang w:eastAsia="lt-LT"/>
                    </w:rPr>
                    <w:t>264</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
                      <w:bCs/>
                      <w:sz w:val="20"/>
                      <w:lang w:eastAsia="lt-LT"/>
                    </w:rPr>
                  </w:pPr>
                  <w:r>
                    <w:rPr>
                      <w:b/>
                      <w:bCs/>
                      <w:sz w:val="20"/>
                      <w:lang w:eastAsia="lt-LT"/>
                    </w:rPr>
                    <w:t>(991,</w:t>
                  </w:r>
                  <w:r w:rsidRPr="00B34608">
                    <w:rPr>
                      <w:b/>
                      <w:bCs/>
                      <w:sz w:val="20"/>
                      <w:lang w:eastAsia="lt-LT"/>
                    </w:rPr>
                    <w:t>038)</w:t>
                  </w: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4.1.</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Cash received from bankruptcy administrators of insurers under liquidation</w:t>
                  </w:r>
                  <w:r w:rsidRPr="00B34608">
                    <w:rPr>
                      <w:i/>
                      <w:sz w:val="20"/>
                    </w:rPr>
                    <w:t>:</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
                      <w:bCs/>
                      <w:i/>
                      <w:sz w:val="20"/>
                      <w:lang w:eastAsia="lt-LT"/>
                    </w:rPr>
                  </w:pPr>
                  <w:r w:rsidRPr="00B34608">
                    <w:rPr>
                      <w:b/>
                      <w:bCs/>
                      <w:i/>
                      <w:sz w:val="20"/>
                      <w:lang w:eastAsia="lt-LT"/>
                    </w:rPr>
                    <w:t>45</w:t>
                  </w:r>
                  <w:r>
                    <w:rPr>
                      <w:b/>
                      <w:bCs/>
                      <w:i/>
                      <w:sz w:val="20"/>
                      <w:lang w:eastAsia="lt-LT"/>
                    </w:rPr>
                    <w:t>,</w:t>
                  </w:r>
                  <w:r w:rsidRPr="00B34608">
                    <w:rPr>
                      <w:b/>
                      <w:bCs/>
                      <w:i/>
                      <w:sz w:val="20"/>
                      <w:lang w:eastAsia="lt-LT"/>
                    </w:rPr>
                    <w:t>662</w:t>
                  </w:r>
                  <w:r>
                    <w:rPr>
                      <w:b/>
                      <w:bCs/>
                      <w:i/>
                      <w:sz w:val="20"/>
                      <w:lang w:eastAsia="lt-LT"/>
                    </w:rPr>
                    <w:t>,</w:t>
                  </w:r>
                  <w:r w:rsidRPr="00B34608">
                    <w:rPr>
                      <w:b/>
                      <w:bCs/>
                      <w:i/>
                      <w:sz w:val="20"/>
                      <w:lang w:eastAsia="lt-LT"/>
                    </w:rPr>
                    <w:t>300</w:t>
                  </w:r>
                </w:p>
              </w:tc>
              <w:tc>
                <w:tcPr>
                  <w:tcW w:w="1560"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ind w:right="33"/>
                    <w:jc w:val="right"/>
                    <w:rPr>
                      <w:b/>
                      <w:bCs/>
                      <w:i/>
                      <w:sz w:val="20"/>
                      <w:lang w:eastAsia="lt-LT"/>
                    </w:rPr>
                  </w:pPr>
                  <w:r w:rsidRPr="00B34608">
                    <w:rPr>
                      <w:b/>
                      <w:bCs/>
                      <w:i/>
                      <w:sz w:val="20"/>
                      <w:lang w:eastAsia="lt-LT"/>
                    </w:rPr>
                    <w:t>7</w:t>
                  </w:r>
                  <w:r>
                    <w:rPr>
                      <w:b/>
                      <w:bCs/>
                      <w:i/>
                      <w:sz w:val="20"/>
                      <w:lang w:eastAsia="lt-LT"/>
                    </w:rPr>
                    <w:t>,</w:t>
                  </w:r>
                  <w:r w:rsidRPr="00B34608">
                    <w:rPr>
                      <w:b/>
                      <w:bCs/>
                      <w:i/>
                      <w:sz w:val="20"/>
                      <w:lang w:eastAsia="lt-LT"/>
                    </w:rPr>
                    <w:t>445</w:t>
                  </w:r>
                  <w:r>
                    <w:rPr>
                      <w:b/>
                      <w:bCs/>
                      <w:i/>
                      <w:sz w:val="20"/>
                      <w:lang w:eastAsia="lt-LT"/>
                    </w:rPr>
                    <w:t>,</w:t>
                  </w:r>
                  <w:r w:rsidRPr="00B34608">
                    <w:rPr>
                      <w:b/>
                      <w:bCs/>
                      <w:i/>
                      <w:sz w:val="20"/>
                      <w:lang w:eastAsia="lt-LT"/>
                    </w:rPr>
                    <w:t>000</w:t>
                  </w: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4.1.1.</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sidRPr="00B34608">
                    <w:rPr>
                      <w:i/>
                      <w:color w:val="000000"/>
                      <w:sz w:val="20"/>
                    </w:rPr>
                    <w:t>B</w:t>
                  </w:r>
                  <w:r>
                    <w:rPr>
                      <w:i/>
                      <w:color w:val="000000"/>
                      <w:sz w:val="20"/>
                    </w:rPr>
                    <w:t>CC C</w:t>
                  </w:r>
                  <w:r w:rsidRPr="00B34608">
                    <w:rPr>
                      <w:i/>
                      <w:color w:val="000000"/>
                      <w:sz w:val="20"/>
                    </w:rPr>
                    <w:t xml:space="preserve">U </w:t>
                  </w:r>
                  <w:proofErr w:type="spellStart"/>
                  <w:r w:rsidRPr="00B34608">
                    <w:rPr>
                      <w:i/>
                      <w:color w:val="000000"/>
                      <w:sz w:val="20"/>
                    </w:rPr>
                    <w:t>Naftininkų</w:t>
                  </w:r>
                  <w:proofErr w:type="spellEnd"/>
                  <w:r w:rsidRPr="00B34608">
                    <w:rPr>
                      <w:i/>
                      <w:color w:val="000000"/>
                      <w:sz w:val="20"/>
                    </w:rPr>
                    <w:t xml:space="preserve"> </w:t>
                  </w:r>
                  <w:proofErr w:type="spellStart"/>
                  <w:r w:rsidRPr="00B34608">
                    <w:rPr>
                      <w:i/>
                      <w:color w:val="000000"/>
                      <w:sz w:val="20"/>
                    </w:rPr>
                    <w:t>investicijos</w:t>
                  </w:r>
                  <w:proofErr w:type="spellEnd"/>
                  <w:r w:rsidRPr="00B34608">
                    <w:rPr>
                      <w:i/>
                      <w:color w:val="000000"/>
                      <w:sz w:val="20"/>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i/>
                      <w:sz w:val="20"/>
                      <w:lang w:eastAsia="lt-LT"/>
                    </w:rPr>
                  </w:pPr>
                  <w:r w:rsidRPr="00B34608">
                    <w:rPr>
                      <w:bCs/>
                      <w:i/>
                      <w:sz w:val="20"/>
                      <w:lang w:eastAsia="lt-LT"/>
                    </w:rPr>
                    <w:t>324</w:t>
                  </w:r>
                  <w:r>
                    <w:rPr>
                      <w:bCs/>
                      <w:i/>
                      <w:sz w:val="20"/>
                      <w:lang w:eastAsia="lt-LT"/>
                    </w:rPr>
                    <w:t>,</w:t>
                  </w:r>
                  <w:r w:rsidRPr="00B34608">
                    <w:rPr>
                      <w:bCs/>
                      <w:i/>
                      <w:sz w:val="20"/>
                      <w:lang w:eastAsia="lt-LT"/>
                    </w:rPr>
                    <w:t>500</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Cs/>
                      <w:i/>
                      <w:sz w:val="20"/>
                      <w:lang w:eastAsia="lt-LT"/>
                    </w:rPr>
                  </w:pPr>
                  <w:r>
                    <w:rPr>
                      <w:bCs/>
                      <w:i/>
                      <w:sz w:val="20"/>
                      <w:lang w:eastAsia="lt-LT"/>
                    </w:rPr>
                    <w:t>102,</w:t>
                  </w:r>
                  <w:r w:rsidRPr="00B34608">
                    <w:rPr>
                      <w:bCs/>
                      <w:i/>
                      <w:sz w:val="20"/>
                      <w:lang w:eastAsia="lt-LT"/>
                    </w:rPr>
                    <w:t>000</w:t>
                  </w: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4.1.2</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color w:val="000000"/>
                      <w:sz w:val="20"/>
                    </w:rPr>
                  </w:pPr>
                  <w:r>
                    <w:rPr>
                      <w:i/>
                      <w:color w:val="000000"/>
                      <w:sz w:val="20"/>
                    </w:rPr>
                    <w:t>BCC</w:t>
                  </w:r>
                  <w:r w:rsidRPr="00B34608">
                    <w:rPr>
                      <w:i/>
                      <w:color w:val="000000"/>
                      <w:sz w:val="20"/>
                    </w:rPr>
                    <w:t xml:space="preserve"> Amber</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i/>
                      <w:sz w:val="20"/>
                      <w:lang w:eastAsia="lt-LT"/>
                    </w:rPr>
                  </w:pPr>
                  <w:r w:rsidRPr="00B34608">
                    <w:rPr>
                      <w:bCs/>
                      <w:i/>
                      <w:sz w:val="20"/>
                      <w:lang w:eastAsia="lt-LT"/>
                    </w:rPr>
                    <w:t>1</w:t>
                  </w:r>
                  <w:r>
                    <w:rPr>
                      <w:bCs/>
                      <w:i/>
                      <w:sz w:val="20"/>
                      <w:lang w:eastAsia="lt-LT"/>
                    </w:rPr>
                    <w:t>,</w:t>
                  </w:r>
                  <w:r w:rsidRPr="00B34608">
                    <w:rPr>
                      <w:bCs/>
                      <w:i/>
                      <w:sz w:val="20"/>
                      <w:lang w:eastAsia="lt-LT"/>
                    </w:rPr>
                    <w:t>000</w:t>
                  </w:r>
                  <w:r>
                    <w:rPr>
                      <w:bCs/>
                      <w:i/>
                      <w:sz w:val="20"/>
                      <w:lang w:eastAsia="lt-LT"/>
                    </w:rPr>
                    <w:t>,</w:t>
                  </w:r>
                  <w:r w:rsidRPr="00B34608">
                    <w:rPr>
                      <w:bCs/>
                      <w:i/>
                      <w:sz w:val="20"/>
                      <w:lang w:eastAsia="lt-LT"/>
                    </w:rPr>
                    <w:t>000</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Cs/>
                      <w:i/>
                      <w:sz w:val="20"/>
                      <w:lang w:eastAsia="lt-LT"/>
                    </w:rPr>
                  </w:pP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4.1.3</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color w:val="000000"/>
                      <w:sz w:val="20"/>
                    </w:rPr>
                  </w:pPr>
                  <w:r>
                    <w:rPr>
                      <w:i/>
                      <w:color w:val="000000"/>
                      <w:sz w:val="20"/>
                    </w:rPr>
                    <w:t>BCC</w:t>
                  </w:r>
                  <w:r w:rsidRPr="00B34608">
                    <w:rPr>
                      <w:i/>
                      <w:color w:val="000000"/>
                      <w:sz w:val="20"/>
                    </w:rPr>
                    <w:t xml:space="preserve"> </w:t>
                  </w:r>
                  <w:proofErr w:type="spellStart"/>
                  <w:r w:rsidRPr="00B34608">
                    <w:rPr>
                      <w:i/>
                      <w:color w:val="000000"/>
                      <w:sz w:val="20"/>
                    </w:rPr>
                    <w:t>Žemaitijos</w:t>
                  </w:r>
                  <w:proofErr w:type="spellEnd"/>
                  <w:r w:rsidRPr="00B34608">
                    <w:rPr>
                      <w:i/>
                      <w:color w:val="000000"/>
                      <w:sz w:val="20"/>
                    </w:rPr>
                    <w:t xml:space="preserve"> </w:t>
                  </w:r>
                  <w:proofErr w:type="spellStart"/>
                  <w:r w:rsidRPr="00B34608">
                    <w:rPr>
                      <w:i/>
                      <w:color w:val="000000"/>
                      <w:sz w:val="20"/>
                    </w:rPr>
                    <w:t>iždas</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i/>
                      <w:sz w:val="20"/>
                      <w:lang w:eastAsia="lt-LT"/>
                    </w:rPr>
                  </w:pPr>
                  <w:r w:rsidRPr="00B34608">
                    <w:rPr>
                      <w:bCs/>
                      <w:i/>
                      <w:sz w:val="20"/>
                      <w:lang w:eastAsia="lt-LT"/>
                    </w:rPr>
                    <w:t>555</w:t>
                  </w:r>
                  <w:r>
                    <w:rPr>
                      <w:bCs/>
                      <w:i/>
                      <w:sz w:val="20"/>
                      <w:lang w:eastAsia="lt-LT"/>
                    </w:rPr>
                    <w:t>,</w:t>
                  </w:r>
                  <w:r w:rsidRPr="00B34608">
                    <w:rPr>
                      <w:bCs/>
                      <w:i/>
                      <w:sz w:val="20"/>
                      <w:lang w:eastAsia="lt-LT"/>
                    </w:rPr>
                    <w:t>000</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Cs/>
                      <w:i/>
                      <w:sz w:val="20"/>
                      <w:lang w:eastAsia="lt-LT"/>
                    </w:rPr>
                  </w:pP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4.1.4</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34"/>
                    </w:tabs>
                    <w:ind w:left="34"/>
                    <w:jc w:val="both"/>
                    <w:rPr>
                      <w:i/>
                      <w:color w:val="000000"/>
                      <w:sz w:val="20"/>
                    </w:rPr>
                  </w:pPr>
                  <w:r>
                    <w:rPr>
                      <w:i/>
                      <w:color w:val="000000"/>
                      <w:sz w:val="20"/>
                    </w:rPr>
                    <w:t>BCC</w:t>
                  </w:r>
                  <w:r w:rsidRPr="00B34608">
                    <w:rPr>
                      <w:i/>
                      <w:color w:val="000000"/>
                      <w:sz w:val="20"/>
                    </w:rPr>
                    <w:t xml:space="preserve"> </w:t>
                  </w:r>
                  <w:proofErr w:type="spellStart"/>
                  <w:r w:rsidRPr="00B34608">
                    <w:rPr>
                      <w:i/>
                      <w:color w:val="000000"/>
                      <w:sz w:val="20"/>
                    </w:rPr>
                    <w:t>Nacionalinė</w:t>
                  </w:r>
                  <w:proofErr w:type="spellEnd"/>
                  <w:r w:rsidRPr="00B34608">
                    <w:rPr>
                      <w:i/>
                      <w:color w:val="000000"/>
                      <w:sz w:val="20"/>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i/>
                      <w:sz w:val="20"/>
                      <w:lang w:eastAsia="lt-LT"/>
                    </w:rPr>
                  </w:pPr>
                  <w:r w:rsidRPr="00B34608">
                    <w:rPr>
                      <w:bCs/>
                      <w:i/>
                      <w:sz w:val="20"/>
                      <w:lang w:eastAsia="lt-LT"/>
                    </w:rPr>
                    <w:t>203</w:t>
                  </w:r>
                  <w:r>
                    <w:rPr>
                      <w:bCs/>
                      <w:i/>
                      <w:sz w:val="20"/>
                      <w:lang w:eastAsia="lt-LT"/>
                    </w:rPr>
                    <w:t>,</w:t>
                  </w:r>
                  <w:r w:rsidRPr="00B34608">
                    <w:rPr>
                      <w:bCs/>
                      <w:i/>
                      <w:sz w:val="20"/>
                      <w:lang w:eastAsia="lt-LT"/>
                    </w:rPr>
                    <w:t>000</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Cs/>
                      <w:i/>
                      <w:sz w:val="20"/>
                      <w:lang w:eastAsia="lt-LT"/>
                    </w:rPr>
                  </w:pP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4.1.5.</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Difference of recalculated credit claim</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i/>
                      <w:sz w:val="20"/>
                      <w:lang w:eastAsia="lt-LT"/>
                    </w:rPr>
                  </w:pPr>
                  <w:r w:rsidRPr="00B34608">
                    <w:rPr>
                      <w:bCs/>
                      <w:i/>
                      <w:sz w:val="20"/>
                      <w:lang w:eastAsia="lt-LT"/>
                    </w:rPr>
                    <w:t>43</w:t>
                  </w:r>
                  <w:r>
                    <w:rPr>
                      <w:bCs/>
                      <w:i/>
                      <w:sz w:val="20"/>
                      <w:lang w:eastAsia="lt-LT"/>
                    </w:rPr>
                    <w:t>,</w:t>
                  </w:r>
                  <w:r w:rsidRPr="00B34608">
                    <w:rPr>
                      <w:bCs/>
                      <w:i/>
                      <w:sz w:val="20"/>
                      <w:lang w:eastAsia="lt-LT"/>
                    </w:rPr>
                    <w:t>579</w:t>
                  </w:r>
                  <w:r>
                    <w:rPr>
                      <w:bCs/>
                      <w:i/>
                      <w:sz w:val="20"/>
                      <w:lang w:eastAsia="lt-LT"/>
                    </w:rPr>
                    <w:t>,</w:t>
                  </w:r>
                  <w:r w:rsidRPr="00B34608">
                    <w:rPr>
                      <w:bCs/>
                      <w:i/>
                      <w:sz w:val="20"/>
                      <w:lang w:eastAsia="lt-LT"/>
                    </w:rPr>
                    <w:t>800</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Cs/>
                      <w:i/>
                      <w:sz w:val="20"/>
                      <w:lang w:eastAsia="lt-LT"/>
                    </w:rPr>
                  </w:pPr>
                  <w:r w:rsidRPr="00B34608">
                    <w:rPr>
                      <w:bCs/>
                      <w:i/>
                      <w:sz w:val="20"/>
                      <w:lang w:eastAsia="lt-LT"/>
                    </w:rPr>
                    <w:t>7</w:t>
                  </w:r>
                  <w:r>
                    <w:rPr>
                      <w:bCs/>
                      <w:i/>
                      <w:sz w:val="20"/>
                      <w:lang w:eastAsia="lt-LT"/>
                    </w:rPr>
                    <w:t>,</w:t>
                  </w:r>
                  <w:r w:rsidRPr="00B34608">
                    <w:rPr>
                      <w:bCs/>
                      <w:i/>
                      <w:sz w:val="20"/>
                      <w:lang w:eastAsia="lt-LT"/>
                    </w:rPr>
                    <w:t>343</w:t>
                  </w:r>
                  <w:r>
                    <w:rPr>
                      <w:bCs/>
                      <w:i/>
                      <w:sz w:val="20"/>
                      <w:lang w:eastAsia="lt-LT"/>
                    </w:rPr>
                    <w:t>,</w:t>
                  </w:r>
                  <w:r w:rsidRPr="00B34608">
                    <w:rPr>
                      <w:bCs/>
                      <w:i/>
                      <w:sz w:val="20"/>
                      <w:lang w:eastAsia="lt-LT"/>
                    </w:rPr>
                    <w:t>000</w:t>
                  </w: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4.2.</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Insurance compensations paid in</w:t>
                  </w:r>
                  <w:r w:rsidRPr="00B34608">
                    <w:rPr>
                      <w:i/>
                      <w:sz w:val="20"/>
                    </w:rPr>
                    <w:t xml:space="preserve"> 2017: </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
                      <w:bCs/>
                      <w:i/>
                      <w:sz w:val="20"/>
                      <w:lang w:eastAsia="lt-LT"/>
                    </w:rPr>
                  </w:pPr>
                  <w:r w:rsidRPr="00B34608">
                    <w:rPr>
                      <w:b/>
                      <w:bCs/>
                      <w:i/>
                      <w:sz w:val="20"/>
                      <w:lang w:eastAsia="lt-LT"/>
                    </w:rPr>
                    <w:t>(37</w:t>
                  </w:r>
                  <w:r>
                    <w:rPr>
                      <w:b/>
                      <w:bCs/>
                      <w:i/>
                      <w:sz w:val="20"/>
                      <w:lang w:eastAsia="lt-LT"/>
                    </w:rPr>
                    <w:t>,</w:t>
                  </w:r>
                  <w:r w:rsidRPr="00B34608">
                    <w:rPr>
                      <w:b/>
                      <w:bCs/>
                      <w:i/>
                      <w:sz w:val="20"/>
                      <w:lang w:eastAsia="lt-LT"/>
                    </w:rPr>
                    <w:t>217</w:t>
                  </w:r>
                  <w:r>
                    <w:rPr>
                      <w:b/>
                      <w:bCs/>
                      <w:i/>
                      <w:sz w:val="20"/>
                      <w:lang w:eastAsia="lt-LT"/>
                    </w:rPr>
                    <w:t>,</w:t>
                  </w:r>
                  <w:r w:rsidRPr="00B34608">
                    <w:rPr>
                      <w:b/>
                      <w:bCs/>
                      <w:i/>
                      <w:sz w:val="20"/>
                      <w:lang w:eastAsia="lt-LT"/>
                    </w:rPr>
                    <w:t xml:space="preserve">736) </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
                      <w:bCs/>
                      <w:i/>
                      <w:sz w:val="20"/>
                      <w:lang w:eastAsia="lt-LT"/>
                    </w:rPr>
                  </w:pPr>
                  <w:r w:rsidRPr="00B34608">
                    <w:rPr>
                      <w:b/>
                      <w:bCs/>
                      <w:i/>
                      <w:sz w:val="20"/>
                      <w:lang w:eastAsia="lt-LT"/>
                    </w:rPr>
                    <w:t>(20</w:t>
                  </w:r>
                  <w:r>
                    <w:rPr>
                      <w:b/>
                      <w:bCs/>
                      <w:i/>
                      <w:sz w:val="20"/>
                      <w:lang w:eastAsia="lt-LT"/>
                    </w:rPr>
                    <w:t>,</w:t>
                  </w:r>
                  <w:r w:rsidRPr="00B34608">
                    <w:rPr>
                      <w:b/>
                      <w:bCs/>
                      <w:i/>
                      <w:sz w:val="20"/>
                      <w:lang w:eastAsia="lt-LT"/>
                    </w:rPr>
                    <w:t>441</w:t>
                  </w:r>
                  <w:r>
                    <w:rPr>
                      <w:b/>
                      <w:bCs/>
                      <w:i/>
                      <w:sz w:val="20"/>
                      <w:lang w:eastAsia="lt-LT"/>
                    </w:rPr>
                    <w:t>,</w:t>
                  </w:r>
                  <w:r w:rsidRPr="00B34608">
                    <w:rPr>
                      <w:b/>
                      <w:bCs/>
                      <w:i/>
                      <w:sz w:val="20"/>
                      <w:lang w:eastAsia="lt-LT"/>
                    </w:rPr>
                    <w:t>924)</w:t>
                  </w: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4.2.1.</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Insurance and other compensations to depositors of</w:t>
                  </w:r>
                  <w:r w:rsidRPr="00B34608">
                    <w:rPr>
                      <w:i/>
                      <w:sz w:val="20"/>
                    </w:rPr>
                    <w:t xml:space="preserve"> BAB </w:t>
                  </w:r>
                  <w:proofErr w:type="spellStart"/>
                  <w:r w:rsidRPr="00B34608">
                    <w:rPr>
                      <w:i/>
                      <w:sz w:val="20"/>
                    </w:rPr>
                    <w:t>bank</w:t>
                  </w:r>
                  <w:r>
                    <w:rPr>
                      <w:i/>
                      <w:sz w:val="20"/>
                    </w:rPr>
                    <w:t>as</w:t>
                  </w:r>
                  <w:proofErr w:type="spellEnd"/>
                  <w:r w:rsidRPr="00B34608">
                    <w:rPr>
                      <w:i/>
                      <w:sz w:val="20"/>
                    </w:rPr>
                    <w:t xml:space="preserve"> </w:t>
                  </w:r>
                  <w:r w:rsidRPr="00B34608">
                    <w:rPr>
                      <w:i/>
                      <w:sz w:val="20"/>
                    </w:rPr>
                    <w:lastRenderedPageBreak/>
                    <w:t xml:space="preserve">SNORAS  </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i/>
                      <w:sz w:val="20"/>
                      <w:lang w:eastAsia="lt-LT"/>
                    </w:rPr>
                  </w:pPr>
                  <w:r w:rsidRPr="00B34608">
                    <w:rPr>
                      <w:bCs/>
                      <w:i/>
                      <w:sz w:val="20"/>
                      <w:lang w:eastAsia="lt-LT"/>
                    </w:rPr>
                    <w:lastRenderedPageBreak/>
                    <w:t>(61</w:t>
                  </w:r>
                  <w:r>
                    <w:rPr>
                      <w:bCs/>
                      <w:i/>
                      <w:sz w:val="20"/>
                      <w:lang w:eastAsia="lt-LT"/>
                    </w:rPr>
                    <w:t>,</w:t>
                  </w:r>
                  <w:r w:rsidRPr="00B34608">
                    <w:rPr>
                      <w:bCs/>
                      <w:i/>
                      <w:sz w:val="20"/>
                      <w:lang w:eastAsia="lt-LT"/>
                    </w:rPr>
                    <w:t>503)</w:t>
                  </w:r>
                </w:p>
              </w:tc>
              <w:tc>
                <w:tcPr>
                  <w:tcW w:w="1560"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ind w:right="33"/>
                    <w:jc w:val="right"/>
                    <w:rPr>
                      <w:bCs/>
                      <w:i/>
                      <w:sz w:val="20"/>
                      <w:lang w:eastAsia="lt-LT"/>
                    </w:rPr>
                  </w:pPr>
                  <w:r w:rsidRPr="00B34608">
                    <w:rPr>
                      <w:bCs/>
                      <w:i/>
                      <w:sz w:val="20"/>
                      <w:lang w:eastAsia="lt-LT"/>
                    </w:rPr>
                    <w:t>(475</w:t>
                  </w:r>
                  <w:r>
                    <w:rPr>
                      <w:bCs/>
                      <w:i/>
                      <w:sz w:val="20"/>
                      <w:lang w:eastAsia="lt-LT"/>
                    </w:rPr>
                    <w:t>,</w:t>
                  </w:r>
                  <w:r w:rsidRPr="00B34608">
                    <w:rPr>
                      <w:bCs/>
                      <w:i/>
                      <w:sz w:val="20"/>
                      <w:lang w:eastAsia="lt-LT"/>
                    </w:rPr>
                    <w:t>246)</w:t>
                  </w: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4.2.2</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Insurance compensations to depositors of</w:t>
                  </w:r>
                  <w:r w:rsidRPr="00B34608">
                    <w:rPr>
                      <w:i/>
                      <w:sz w:val="20"/>
                    </w:rPr>
                    <w:t xml:space="preserve"> </w:t>
                  </w:r>
                  <w:r>
                    <w:rPr>
                      <w:i/>
                      <w:sz w:val="20"/>
                    </w:rPr>
                    <w:t>C</w:t>
                  </w:r>
                  <w:r w:rsidRPr="00B34608">
                    <w:rPr>
                      <w:i/>
                      <w:sz w:val="20"/>
                    </w:rPr>
                    <w:t xml:space="preserve">U Amber </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i/>
                      <w:sz w:val="20"/>
                      <w:lang w:eastAsia="lt-LT"/>
                    </w:rPr>
                  </w:pPr>
                  <w:r w:rsidRPr="00B34608">
                    <w:rPr>
                      <w:bCs/>
                      <w:i/>
                      <w:sz w:val="20"/>
                      <w:lang w:eastAsia="lt-LT"/>
                    </w:rPr>
                    <w:t>-</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Cs/>
                      <w:i/>
                      <w:sz w:val="20"/>
                      <w:lang w:eastAsia="lt-LT"/>
                    </w:rPr>
                  </w:pPr>
                  <w:r w:rsidRPr="00B34608">
                    <w:rPr>
                      <w:bCs/>
                      <w:i/>
                      <w:sz w:val="20"/>
                      <w:lang w:eastAsia="lt-LT"/>
                    </w:rPr>
                    <w:t>(19</w:t>
                  </w:r>
                  <w:r>
                    <w:rPr>
                      <w:bCs/>
                      <w:i/>
                      <w:sz w:val="20"/>
                      <w:lang w:eastAsia="lt-LT"/>
                    </w:rPr>
                    <w:t>,</w:t>
                  </w:r>
                  <w:r w:rsidRPr="00B34608">
                    <w:rPr>
                      <w:bCs/>
                      <w:i/>
                      <w:sz w:val="20"/>
                      <w:lang w:eastAsia="lt-LT"/>
                    </w:rPr>
                    <w:t>966</w:t>
                  </w:r>
                  <w:r>
                    <w:rPr>
                      <w:bCs/>
                      <w:i/>
                      <w:sz w:val="20"/>
                      <w:lang w:eastAsia="lt-LT"/>
                    </w:rPr>
                    <w:t>,</w:t>
                  </w:r>
                  <w:r w:rsidRPr="00B34608">
                    <w:rPr>
                      <w:bCs/>
                      <w:i/>
                      <w:sz w:val="20"/>
                      <w:lang w:eastAsia="lt-LT"/>
                    </w:rPr>
                    <w:t>678)</w:t>
                  </w: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4.2.3</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Insurance compensations</w:t>
                  </w:r>
                  <w:r w:rsidRPr="00B34608">
                    <w:rPr>
                      <w:i/>
                      <w:sz w:val="20"/>
                    </w:rPr>
                    <w:t xml:space="preserve"> </w:t>
                  </w:r>
                  <w:r>
                    <w:rPr>
                      <w:i/>
                      <w:sz w:val="20"/>
                    </w:rPr>
                    <w:t>to depositors of</w:t>
                  </w:r>
                  <w:r w:rsidRPr="00B34608">
                    <w:rPr>
                      <w:i/>
                      <w:sz w:val="20"/>
                    </w:rPr>
                    <w:t xml:space="preserve"> </w:t>
                  </w:r>
                  <w:r>
                    <w:rPr>
                      <w:i/>
                      <w:sz w:val="20"/>
                    </w:rPr>
                    <w:t>C</w:t>
                  </w:r>
                  <w:r w:rsidRPr="00B34608">
                    <w:rPr>
                      <w:i/>
                      <w:sz w:val="20"/>
                    </w:rPr>
                    <w:t xml:space="preserve">U </w:t>
                  </w:r>
                  <w:proofErr w:type="spellStart"/>
                  <w:r w:rsidRPr="00B34608">
                    <w:rPr>
                      <w:i/>
                      <w:sz w:val="20"/>
                    </w:rPr>
                    <w:t>Žemaitijos</w:t>
                  </w:r>
                  <w:proofErr w:type="spellEnd"/>
                  <w:r>
                    <w:rPr>
                      <w:i/>
                      <w:sz w:val="20"/>
                    </w:rPr>
                    <w:t xml:space="preserve"> </w:t>
                  </w:r>
                  <w:proofErr w:type="spellStart"/>
                  <w:r w:rsidRPr="00B34608">
                    <w:rPr>
                      <w:i/>
                      <w:sz w:val="20"/>
                    </w:rPr>
                    <w:t>iždas</w:t>
                  </w:r>
                  <w:proofErr w:type="spellEnd"/>
                  <w:r w:rsidRPr="00B34608">
                    <w:rPr>
                      <w:i/>
                      <w:sz w:val="20"/>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i/>
                      <w:sz w:val="20"/>
                      <w:lang w:eastAsia="lt-LT"/>
                    </w:rPr>
                  </w:pPr>
                  <w:r w:rsidRPr="00B34608">
                    <w:rPr>
                      <w:bCs/>
                      <w:i/>
                      <w:sz w:val="20"/>
                      <w:lang w:eastAsia="lt-LT"/>
                    </w:rPr>
                    <w:t>(1</w:t>
                  </w:r>
                  <w:r>
                    <w:rPr>
                      <w:bCs/>
                      <w:i/>
                      <w:sz w:val="20"/>
                      <w:lang w:eastAsia="lt-LT"/>
                    </w:rPr>
                    <w:t>,</w:t>
                  </w:r>
                  <w:r w:rsidRPr="00B34608">
                    <w:rPr>
                      <w:bCs/>
                      <w:i/>
                      <w:sz w:val="20"/>
                      <w:lang w:eastAsia="lt-LT"/>
                    </w:rPr>
                    <w:t>634</w:t>
                  </w:r>
                  <w:r>
                    <w:rPr>
                      <w:bCs/>
                      <w:i/>
                      <w:sz w:val="20"/>
                      <w:lang w:eastAsia="lt-LT"/>
                    </w:rPr>
                    <w:t>,</w:t>
                  </w:r>
                  <w:r w:rsidRPr="00B34608">
                    <w:rPr>
                      <w:bCs/>
                      <w:i/>
                      <w:sz w:val="20"/>
                      <w:lang w:eastAsia="lt-LT"/>
                    </w:rPr>
                    <w:t>620)</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Cs/>
                      <w:i/>
                      <w:sz w:val="20"/>
                      <w:lang w:eastAsia="lt-LT"/>
                    </w:rPr>
                  </w:pP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4.2.4</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Insurance compensations</w:t>
                  </w:r>
                  <w:r w:rsidRPr="00B34608">
                    <w:rPr>
                      <w:i/>
                      <w:sz w:val="20"/>
                    </w:rPr>
                    <w:t xml:space="preserve"> </w:t>
                  </w:r>
                  <w:r>
                    <w:rPr>
                      <w:i/>
                      <w:sz w:val="20"/>
                    </w:rPr>
                    <w:t>to depositors of</w:t>
                  </w:r>
                  <w:r w:rsidRPr="00B34608">
                    <w:rPr>
                      <w:i/>
                      <w:sz w:val="20"/>
                    </w:rPr>
                    <w:t xml:space="preserve"> </w:t>
                  </w:r>
                  <w:r>
                    <w:rPr>
                      <w:i/>
                      <w:sz w:val="20"/>
                    </w:rPr>
                    <w:t>C</w:t>
                  </w:r>
                  <w:r w:rsidRPr="00B34608">
                    <w:rPr>
                      <w:i/>
                      <w:sz w:val="20"/>
                    </w:rPr>
                    <w:t xml:space="preserve">U </w:t>
                  </w:r>
                  <w:proofErr w:type="spellStart"/>
                  <w:r w:rsidRPr="00B34608">
                    <w:rPr>
                      <w:i/>
                      <w:sz w:val="20"/>
                    </w:rPr>
                    <w:t>Pajūrio</w:t>
                  </w:r>
                  <w:proofErr w:type="spellEnd"/>
                  <w:r w:rsidRPr="00B34608">
                    <w:rPr>
                      <w:i/>
                      <w:sz w:val="20"/>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i/>
                      <w:sz w:val="20"/>
                      <w:lang w:eastAsia="lt-LT"/>
                    </w:rPr>
                  </w:pPr>
                  <w:r w:rsidRPr="00B34608">
                    <w:rPr>
                      <w:bCs/>
                      <w:i/>
                      <w:sz w:val="20"/>
                      <w:lang w:eastAsia="lt-LT"/>
                    </w:rPr>
                    <w:t>(2</w:t>
                  </w:r>
                  <w:r>
                    <w:rPr>
                      <w:bCs/>
                      <w:i/>
                      <w:sz w:val="20"/>
                      <w:lang w:eastAsia="lt-LT"/>
                    </w:rPr>
                    <w:t>,</w:t>
                  </w:r>
                  <w:r w:rsidRPr="00B34608">
                    <w:rPr>
                      <w:bCs/>
                      <w:i/>
                      <w:sz w:val="20"/>
                      <w:lang w:eastAsia="lt-LT"/>
                    </w:rPr>
                    <w:t>147</w:t>
                  </w:r>
                  <w:r>
                    <w:rPr>
                      <w:bCs/>
                      <w:i/>
                      <w:sz w:val="20"/>
                      <w:lang w:eastAsia="lt-LT"/>
                    </w:rPr>
                    <w:t>,</w:t>
                  </w:r>
                  <w:r w:rsidRPr="00B34608">
                    <w:rPr>
                      <w:bCs/>
                      <w:i/>
                      <w:sz w:val="20"/>
                      <w:lang w:eastAsia="lt-LT"/>
                    </w:rPr>
                    <w:t>883)</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Cs/>
                      <w:i/>
                      <w:sz w:val="20"/>
                      <w:lang w:eastAsia="lt-LT"/>
                    </w:rPr>
                  </w:pP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4.2.5</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Insurance compensations to depositors of</w:t>
                  </w:r>
                  <w:r w:rsidRPr="00B34608">
                    <w:rPr>
                      <w:i/>
                      <w:sz w:val="20"/>
                    </w:rPr>
                    <w:t xml:space="preserve"> </w:t>
                  </w:r>
                  <w:r>
                    <w:rPr>
                      <w:i/>
                      <w:sz w:val="20"/>
                    </w:rPr>
                    <w:t>C</w:t>
                  </w:r>
                  <w:r w:rsidRPr="00B34608">
                    <w:rPr>
                      <w:i/>
                      <w:sz w:val="20"/>
                    </w:rPr>
                    <w:t xml:space="preserve">U </w:t>
                  </w:r>
                  <w:proofErr w:type="spellStart"/>
                  <w:r w:rsidRPr="00B34608">
                    <w:rPr>
                      <w:i/>
                      <w:sz w:val="20"/>
                    </w:rPr>
                    <w:t>Namų</w:t>
                  </w:r>
                  <w:proofErr w:type="spellEnd"/>
                  <w:r w:rsidRPr="00B34608">
                    <w:rPr>
                      <w:i/>
                      <w:sz w:val="20"/>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i/>
                      <w:sz w:val="20"/>
                      <w:lang w:eastAsia="lt-LT"/>
                    </w:rPr>
                  </w:pPr>
                  <w:r w:rsidRPr="00B34608">
                    <w:rPr>
                      <w:bCs/>
                      <w:i/>
                      <w:sz w:val="20"/>
                      <w:lang w:eastAsia="lt-LT"/>
                    </w:rPr>
                    <w:t>(1</w:t>
                  </w:r>
                  <w:r>
                    <w:rPr>
                      <w:bCs/>
                      <w:i/>
                      <w:sz w:val="20"/>
                      <w:lang w:eastAsia="lt-LT"/>
                    </w:rPr>
                    <w:t>,</w:t>
                  </w:r>
                  <w:r w:rsidRPr="00B34608">
                    <w:rPr>
                      <w:bCs/>
                      <w:i/>
                      <w:sz w:val="20"/>
                      <w:lang w:eastAsia="lt-LT"/>
                    </w:rPr>
                    <w:t>381</w:t>
                  </w:r>
                  <w:r>
                    <w:rPr>
                      <w:bCs/>
                      <w:i/>
                      <w:sz w:val="20"/>
                      <w:lang w:eastAsia="lt-LT"/>
                    </w:rPr>
                    <w:t>,</w:t>
                  </w:r>
                  <w:r w:rsidRPr="00B34608">
                    <w:rPr>
                      <w:bCs/>
                      <w:i/>
                      <w:sz w:val="20"/>
                      <w:lang w:eastAsia="lt-LT"/>
                    </w:rPr>
                    <w:t>273)</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Cs/>
                      <w:i/>
                      <w:sz w:val="20"/>
                      <w:lang w:eastAsia="lt-LT"/>
                    </w:rPr>
                  </w:pP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4.2.6</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Insurance compensations</w:t>
                  </w:r>
                  <w:r w:rsidRPr="00B34608">
                    <w:rPr>
                      <w:i/>
                      <w:sz w:val="20"/>
                    </w:rPr>
                    <w:t xml:space="preserve"> </w:t>
                  </w:r>
                  <w:r>
                    <w:rPr>
                      <w:i/>
                      <w:sz w:val="20"/>
                    </w:rPr>
                    <w:t>to depositors of</w:t>
                  </w:r>
                  <w:r w:rsidRPr="00B34608">
                    <w:rPr>
                      <w:i/>
                      <w:sz w:val="20"/>
                    </w:rPr>
                    <w:t xml:space="preserve"> </w:t>
                  </w:r>
                  <w:r>
                    <w:rPr>
                      <w:i/>
                      <w:sz w:val="20"/>
                    </w:rPr>
                    <w:t>C</w:t>
                  </w:r>
                  <w:r w:rsidRPr="00B34608">
                    <w:rPr>
                      <w:i/>
                      <w:sz w:val="20"/>
                    </w:rPr>
                    <w:t xml:space="preserve">U </w:t>
                  </w:r>
                  <w:proofErr w:type="spellStart"/>
                  <w:r w:rsidRPr="00B34608">
                    <w:rPr>
                      <w:i/>
                      <w:sz w:val="20"/>
                    </w:rPr>
                    <w:t>Baltijos</w:t>
                  </w:r>
                  <w:proofErr w:type="spellEnd"/>
                  <w:r w:rsidRPr="00B34608">
                    <w:rPr>
                      <w:i/>
                      <w:sz w:val="20"/>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i/>
                      <w:sz w:val="20"/>
                      <w:lang w:eastAsia="lt-LT"/>
                    </w:rPr>
                  </w:pPr>
                  <w:r w:rsidRPr="00B34608">
                    <w:rPr>
                      <w:bCs/>
                      <w:i/>
                      <w:sz w:val="20"/>
                      <w:lang w:eastAsia="lt-LT"/>
                    </w:rPr>
                    <w:t>(11</w:t>
                  </w:r>
                  <w:r>
                    <w:rPr>
                      <w:bCs/>
                      <w:i/>
                      <w:sz w:val="20"/>
                      <w:lang w:eastAsia="lt-LT"/>
                    </w:rPr>
                    <w:t>,</w:t>
                  </w:r>
                  <w:r w:rsidRPr="00B34608">
                    <w:rPr>
                      <w:bCs/>
                      <w:i/>
                      <w:sz w:val="20"/>
                      <w:lang w:eastAsia="lt-LT"/>
                    </w:rPr>
                    <w:t>520</w:t>
                  </w:r>
                  <w:r>
                    <w:rPr>
                      <w:bCs/>
                      <w:i/>
                      <w:sz w:val="20"/>
                      <w:lang w:eastAsia="lt-LT"/>
                    </w:rPr>
                    <w:t>,</w:t>
                  </w:r>
                  <w:r w:rsidRPr="00B34608">
                    <w:rPr>
                      <w:bCs/>
                      <w:i/>
                      <w:sz w:val="20"/>
                      <w:lang w:eastAsia="lt-LT"/>
                    </w:rPr>
                    <w:t>740)</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Cs/>
                      <w:i/>
                      <w:sz w:val="20"/>
                      <w:lang w:eastAsia="lt-LT"/>
                    </w:rPr>
                  </w:pP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4.2.7</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Insurance compensations</w:t>
                  </w:r>
                  <w:r w:rsidRPr="00B34608">
                    <w:rPr>
                      <w:i/>
                      <w:sz w:val="20"/>
                    </w:rPr>
                    <w:t xml:space="preserve"> </w:t>
                  </w:r>
                  <w:r>
                    <w:rPr>
                      <w:i/>
                      <w:sz w:val="20"/>
                    </w:rPr>
                    <w:t>to depositors of</w:t>
                  </w:r>
                  <w:r w:rsidRPr="00B34608">
                    <w:rPr>
                      <w:i/>
                      <w:sz w:val="20"/>
                    </w:rPr>
                    <w:t xml:space="preserve"> </w:t>
                  </w:r>
                  <w:r>
                    <w:rPr>
                      <w:i/>
                      <w:sz w:val="20"/>
                    </w:rPr>
                    <w:t>C</w:t>
                  </w:r>
                  <w:r w:rsidRPr="00B34608">
                    <w:rPr>
                      <w:i/>
                      <w:sz w:val="20"/>
                    </w:rPr>
                    <w:t xml:space="preserve">U </w:t>
                  </w:r>
                  <w:proofErr w:type="spellStart"/>
                  <w:r w:rsidRPr="00B34608">
                    <w:rPr>
                      <w:i/>
                      <w:sz w:val="20"/>
                    </w:rPr>
                    <w:t>Švyturio</w:t>
                  </w:r>
                  <w:proofErr w:type="spellEnd"/>
                  <w:r w:rsidRPr="00B34608">
                    <w:rPr>
                      <w:i/>
                      <w:sz w:val="20"/>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i/>
                      <w:sz w:val="20"/>
                      <w:lang w:eastAsia="lt-LT"/>
                    </w:rPr>
                  </w:pPr>
                  <w:r w:rsidRPr="00B34608">
                    <w:rPr>
                      <w:bCs/>
                      <w:i/>
                      <w:sz w:val="20"/>
                      <w:lang w:eastAsia="lt-LT"/>
                    </w:rPr>
                    <w:t>(100</w:t>
                  </w:r>
                  <w:r>
                    <w:rPr>
                      <w:bCs/>
                      <w:i/>
                      <w:sz w:val="20"/>
                      <w:lang w:eastAsia="lt-LT"/>
                    </w:rPr>
                    <w:t>,</w:t>
                  </w:r>
                  <w:r w:rsidRPr="00B34608">
                    <w:rPr>
                      <w:bCs/>
                      <w:i/>
                      <w:sz w:val="20"/>
                      <w:lang w:eastAsia="lt-LT"/>
                    </w:rPr>
                    <w:t>000)</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Cs/>
                      <w:i/>
                      <w:sz w:val="20"/>
                      <w:lang w:eastAsia="lt-LT"/>
                    </w:rPr>
                  </w:pP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4.2.8</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Insurance compensations</w:t>
                  </w:r>
                  <w:r w:rsidRPr="00B34608">
                    <w:rPr>
                      <w:i/>
                      <w:sz w:val="20"/>
                    </w:rPr>
                    <w:t xml:space="preserve"> </w:t>
                  </w:r>
                  <w:r>
                    <w:rPr>
                      <w:i/>
                      <w:sz w:val="20"/>
                    </w:rPr>
                    <w:t>to depositors of</w:t>
                  </w:r>
                  <w:r w:rsidRPr="00B34608">
                    <w:rPr>
                      <w:i/>
                      <w:sz w:val="20"/>
                    </w:rPr>
                    <w:t xml:space="preserve"> </w:t>
                  </w:r>
                  <w:r>
                    <w:rPr>
                      <w:i/>
                      <w:sz w:val="20"/>
                    </w:rPr>
                    <w:t xml:space="preserve">CU </w:t>
                  </w:r>
                  <w:r w:rsidRPr="00B34608">
                    <w:rPr>
                      <w:i/>
                      <w:sz w:val="20"/>
                    </w:rPr>
                    <w:t xml:space="preserve">Vilniaus TK  </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i/>
                      <w:sz w:val="20"/>
                      <w:lang w:eastAsia="lt-LT"/>
                    </w:rPr>
                  </w:pPr>
                  <w:r w:rsidRPr="00B34608">
                    <w:rPr>
                      <w:bCs/>
                      <w:i/>
                      <w:sz w:val="20"/>
                      <w:lang w:eastAsia="lt-LT"/>
                    </w:rPr>
                    <w:t>(8</w:t>
                  </w:r>
                  <w:r>
                    <w:rPr>
                      <w:bCs/>
                      <w:i/>
                      <w:sz w:val="20"/>
                      <w:lang w:eastAsia="lt-LT"/>
                    </w:rPr>
                    <w:t>,</w:t>
                  </w:r>
                  <w:r w:rsidRPr="00B34608">
                    <w:rPr>
                      <w:bCs/>
                      <w:i/>
                      <w:sz w:val="20"/>
                      <w:lang w:eastAsia="lt-LT"/>
                    </w:rPr>
                    <w:t>400)</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Cs/>
                      <w:i/>
                      <w:sz w:val="20"/>
                      <w:lang w:eastAsia="lt-LT"/>
                    </w:rPr>
                  </w:pPr>
                </w:p>
              </w:tc>
            </w:tr>
            <w:tr w:rsidR="00D2569B" w:rsidRPr="00B34608" w:rsidTr="00350AAA">
              <w:trPr>
                <w:trHeight w:val="210"/>
              </w:trPr>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4.2.9</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Insurance compensations</w:t>
                  </w:r>
                  <w:r w:rsidRPr="00B34608">
                    <w:rPr>
                      <w:i/>
                      <w:sz w:val="20"/>
                    </w:rPr>
                    <w:t xml:space="preserve"> </w:t>
                  </w:r>
                  <w:r>
                    <w:rPr>
                      <w:i/>
                      <w:sz w:val="20"/>
                    </w:rPr>
                    <w:t>to depositors of</w:t>
                  </w:r>
                  <w:r w:rsidRPr="00B34608">
                    <w:rPr>
                      <w:i/>
                      <w:sz w:val="20"/>
                    </w:rPr>
                    <w:t xml:space="preserve"> </w:t>
                  </w:r>
                  <w:r>
                    <w:rPr>
                      <w:i/>
                      <w:sz w:val="20"/>
                    </w:rPr>
                    <w:t xml:space="preserve">CU </w:t>
                  </w:r>
                  <w:r w:rsidRPr="00B34608">
                    <w:rPr>
                      <w:i/>
                      <w:sz w:val="20"/>
                    </w:rPr>
                    <w:t xml:space="preserve">Vilniaus </w:t>
                  </w:r>
                  <w:proofErr w:type="spellStart"/>
                  <w:r w:rsidRPr="00B34608">
                    <w:rPr>
                      <w:i/>
                      <w:sz w:val="20"/>
                    </w:rPr>
                    <w:t>kreditas</w:t>
                  </w:r>
                  <w:proofErr w:type="spellEnd"/>
                  <w:r w:rsidRPr="00B34608">
                    <w:rPr>
                      <w:i/>
                      <w:sz w:val="20"/>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i/>
                      <w:sz w:val="20"/>
                      <w:lang w:eastAsia="lt-LT"/>
                    </w:rPr>
                  </w:pPr>
                  <w:r w:rsidRPr="00B34608">
                    <w:rPr>
                      <w:bCs/>
                      <w:i/>
                      <w:sz w:val="20"/>
                      <w:lang w:eastAsia="lt-LT"/>
                    </w:rPr>
                    <w:t>(20</w:t>
                  </w:r>
                  <w:r>
                    <w:rPr>
                      <w:bCs/>
                      <w:i/>
                      <w:sz w:val="20"/>
                      <w:lang w:eastAsia="lt-LT"/>
                    </w:rPr>
                    <w:t>,</w:t>
                  </w:r>
                  <w:r w:rsidRPr="00B34608">
                    <w:rPr>
                      <w:bCs/>
                      <w:i/>
                      <w:sz w:val="20"/>
                      <w:lang w:eastAsia="lt-LT"/>
                    </w:rPr>
                    <w:t>358</w:t>
                  </w:r>
                  <w:r>
                    <w:rPr>
                      <w:bCs/>
                      <w:i/>
                      <w:sz w:val="20"/>
                      <w:lang w:eastAsia="lt-LT"/>
                    </w:rPr>
                    <w:t>,</w:t>
                  </w:r>
                  <w:r w:rsidRPr="00B34608">
                    <w:rPr>
                      <w:bCs/>
                      <w:i/>
                      <w:sz w:val="20"/>
                      <w:lang w:eastAsia="lt-LT"/>
                    </w:rPr>
                    <w:t>947)</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Cs/>
                      <w:i/>
                      <w:sz w:val="20"/>
                      <w:lang w:eastAsia="lt-LT"/>
                    </w:rPr>
                  </w:pPr>
                </w:p>
              </w:tc>
            </w:tr>
            <w:tr w:rsidR="00D2569B" w:rsidRPr="00B34608" w:rsidTr="00350AAA">
              <w:trPr>
                <w:trHeight w:val="100"/>
              </w:trPr>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4.2.10</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Insurance compensations to depositors of</w:t>
                  </w:r>
                  <w:r w:rsidRPr="00B34608">
                    <w:rPr>
                      <w:i/>
                      <w:sz w:val="20"/>
                    </w:rPr>
                    <w:t xml:space="preserve"> BAB </w:t>
                  </w:r>
                  <w:proofErr w:type="spellStart"/>
                  <w:r w:rsidRPr="00B34608">
                    <w:rPr>
                      <w:i/>
                      <w:sz w:val="20"/>
                    </w:rPr>
                    <w:t>bank</w:t>
                  </w:r>
                  <w:r>
                    <w:rPr>
                      <w:i/>
                      <w:sz w:val="20"/>
                    </w:rPr>
                    <w:t>as</w:t>
                  </w:r>
                  <w:proofErr w:type="spellEnd"/>
                  <w:r w:rsidRPr="00B34608">
                    <w:rPr>
                      <w:i/>
                      <w:sz w:val="20"/>
                    </w:rPr>
                    <w:t xml:space="preserve"> LITIMPEKS </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i/>
                      <w:sz w:val="20"/>
                      <w:lang w:eastAsia="lt-LT"/>
                    </w:rPr>
                  </w:pPr>
                  <w:r w:rsidRPr="00B34608">
                    <w:rPr>
                      <w:bCs/>
                      <w:i/>
                      <w:sz w:val="20"/>
                      <w:lang w:eastAsia="lt-LT"/>
                    </w:rPr>
                    <w:t>(9</w:t>
                  </w:r>
                  <w:r>
                    <w:rPr>
                      <w:bCs/>
                      <w:i/>
                      <w:sz w:val="20"/>
                      <w:lang w:eastAsia="lt-LT"/>
                    </w:rPr>
                    <w:t>,</w:t>
                  </w:r>
                  <w:r w:rsidRPr="00B34608">
                    <w:rPr>
                      <w:bCs/>
                      <w:i/>
                      <w:sz w:val="20"/>
                      <w:lang w:eastAsia="lt-LT"/>
                    </w:rPr>
                    <w:t>558)</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Cs/>
                      <w:i/>
                      <w:sz w:val="20"/>
                      <w:lang w:eastAsia="lt-LT"/>
                    </w:rPr>
                  </w:pP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4.2.11</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Recovered</w:t>
                  </w:r>
                  <w:r w:rsidRPr="00B34608">
                    <w:rPr>
                      <w:i/>
                      <w:sz w:val="20"/>
                    </w:rPr>
                    <w:t xml:space="preserve"> </w:t>
                  </w:r>
                  <w:r>
                    <w:rPr>
                      <w:i/>
                      <w:sz w:val="20"/>
                    </w:rPr>
                    <w:t>insurance compensations</w:t>
                  </w:r>
                  <w:r w:rsidRPr="00B34608">
                    <w:rPr>
                      <w:i/>
                      <w:sz w:val="20"/>
                    </w:rPr>
                    <w:t xml:space="preserve"> </w:t>
                  </w:r>
                  <w:r>
                    <w:rPr>
                      <w:i/>
                      <w:sz w:val="20"/>
                    </w:rPr>
                    <w:t>of C</w:t>
                  </w:r>
                  <w:r w:rsidRPr="00B34608">
                    <w:rPr>
                      <w:i/>
                      <w:sz w:val="20"/>
                    </w:rPr>
                    <w:t xml:space="preserve">U </w:t>
                  </w:r>
                  <w:proofErr w:type="spellStart"/>
                  <w:r w:rsidRPr="00B34608">
                    <w:rPr>
                      <w:i/>
                      <w:sz w:val="20"/>
                    </w:rPr>
                    <w:t>Baltijos</w:t>
                  </w:r>
                  <w:proofErr w:type="spellEnd"/>
                  <w:r w:rsidRPr="00B34608">
                    <w:rPr>
                      <w:i/>
                      <w:sz w:val="20"/>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Cs/>
                      <w:i/>
                      <w:sz w:val="20"/>
                      <w:lang w:eastAsia="lt-LT"/>
                    </w:rPr>
                  </w:pPr>
                  <w:r w:rsidRPr="00B34608">
                    <w:rPr>
                      <w:bCs/>
                      <w:i/>
                      <w:sz w:val="20"/>
                      <w:lang w:eastAsia="lt-LT"/>
                    </w:rPr>
                    <w:t>5</w:t>
                  </w:r>
                  <w:r>
                    <w:rPr>
                      <w:bCs/>
                      <w:i/>
                      <w:sz w:val="20"/>
                      <w:lang w:eastAsia="lt-LT"/>
                    </w:rPr>
                    <w:t>,</w:t>
                  </w:r>
                  <w:r w:rsidRPr="00B34608">
                    <w:rPr>
                      <w:bCs/>
                      <w:i/>
                      <w:sz w:val="20"/>
                      <w:lang w:eastAsia="lt-LT"/>
                    </w:rPr>
                    <w:t>188</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Cs/>
                      <w:i/>
                      <w:sz w:val="20"/>
                      <w:lang w:eastAsia="lt-LT"/>
                    </w:rPr>
                  </w:pP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4.3.</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Insurance compensations</w:t>
                  </w:r>
                  <w:r w:rsidRPr="00B34608">
                    <w:rPr>
                      <w:i/>
                      <w:sz w:val="20"/>
                    </w:rPr>
                    <w:t xml:space="preserve"> </w:t>
                  </w:r>
                  <w:r>
                    <w:rPr>
                      <w:i/>
                      <w:sz w:val="20"/>
                    </w:rPr>
                    <w:t>recovered through court</w:t>
                  </w:r>
                  <w:r w:rsidRPr="00B34608">
                    <w:rPr>
                      <w:i/>
                      <w:sz w:val="20"/>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
                      <w:bCs/>
                      <w:i/>
                      <w:sz w:val="20"/>
                      <w:lang w:eastAsia="lt-LT"/>
                    </w:rPr>
                  </w:pP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
                      <w:bCs/>
                      <w:i/>
                      <w:sz w:val="20"/>
                      <w:lang w:eastAsia="lt-LT"/>
                    </w:rPr>
                  </w:pPr>
                  <w:r w:rsidRPr="00B34608">
                    <w:rPr>
                      <w:b/>
                      <w:bCs/>
                      <w:i/>
                      <w:sz w:val="20"/>
                      <w:lang w:eastAsia="lt-LT"/>
                    </w:rPr>
                    <w:t>159</w:t>
                  </w:r>
                  <w:r>
                    <w:rPr>
                      <w:b/>
                      <w:bCs/>
                      <w:i/>
                      <w:sz w:val="20"/>
                      <w:lang w:eastAsia="lt-LT"/>
                    </w:rPr>
                    <w:t>,</w:t>
                  </w:r>
                  <w:r w:rsidRPr="00B34608">
                    <w:rPr>
                      <w:b/>
                      <w:bCs/>
                      <w:i/>
                      <w:sz w:val="20"/>
                      <w:lang w:eastAsia="lt-LT"/>
                    </w:rPr>
                    <w:t>546</w:t>
                  </w: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4.4</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Insurance compensations</w:t>
                  </w:r>
                  <w:r w:rsidRPr="00B34608">
                    <w:rPr>
                      <w:i/>
                      <w:sz w:val="20"/>
                    </w:rPr>
                    <w:t xml:space="preserve"> </w:t>
                  </w:r>
                  <w:r>
                    <w:rPr>
                      <w:i/>
                      <w:sz w:val="20"/>
                    </w:rPr>
                    <w:t xml:space="preserve">recovered after expiry of </w:t>
                  </w:r>
                  <w:r w:rsidRPr="00B34608">
                    <w:rPr>
                      <w:i/>
                      <w:sz w:val="20"/>
                    </w:rPr>
                    <w:t xml:space="preserve">5 </w:t>
                  </w:r>
                  <w:r>
                    <w:rPr>
                      <w:i/>
                      <w:sz w:val="20"/>
                    </w:rPr>
                    <w:t>years</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
                      <w:bCs/>
                      <w:i/>
                      <w:sz w:val="20"/>
                      <w:lang w:eastAsia="lt-LT"/>
                    </w:rPr>
                  </w:pP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
                      <w:bCs/>
                      <w:i/>
                      <w:sz w:val="20"/>
                      <w:lang w:eastAsia="lt-LT"/>
                    </w:rPr>
                  </w:pPr>
                  <w:r w:rsidRPr="00B34608">
                    <w:rPr>
                      <w:b/>
                      <w:bCs/>
                      <w:i/>
                      <w:sz w:val="20"/>
                      <w:lang w:eastAsia="lt-LT"/>
                    </w:rPr>
                    <w:t>12</w:t>
                  </w:r>
                  <w:r>
                    <w:rPr>
                      <w:b/>
                      <w:bCs/>
                      <w:i/>
                      <w:sz w:val="20"/>
                      <w:lang w:eastAsia="lt-LT"/>
                    </w:rPr>
                    <w:t>,</w:t>
                  </w:r>
                  <w:r w:rsidRPr="00B34608">
                    <w:rPr>
                      <w:b/>
                      <w:bCs/>
                      <w:i/>
                      <w:sz w:val="20"/>
                      <w:lang w:eastAsia="lt-LT"/>
                    </w:rPr>
                    <w:t>493</w:t>
                  </w:r>
                  <w:r>
                    <w:rPr>
                      <w:b/>
                      <w:bCs/>
                      <w:i/>
                      <w:sz w:val="20"/>
                      <w:lang w:eastAsia="lt-LT"/>
                    </w:rPr>
                    <w:t>,</w:t>
                  </w:r>
                  <w:r w:rsidRPr="00B34608">
                    <w:rPr>
                      <w:b/>
                      <w:bCs/>
                      <w:i/>
                      <w:sz w:val="20"/>
                      <w:lang w:eastAsia="lt-LT"/>
                    </w:rPr>
                    <w:t>224</w:t>
                  </w: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4.5.</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 xml:space="preserve">Insurance compensation calculated for recovery through court </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
                      <w:bCs/>
                      <w:i/>
                      <w:sz w:val="20"/>
                      <w:lang w:eastAsia="lt-LT"/>
                    </w:rPr>
                  </w:pP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
                      <w:bCs/>
                      <w:i/>
                      <w:sz w:val="20"/>
                      <w:lang w:eastAsia="lt-LT"/>
                    </w:rPr>
                  </w:pPr>
                  <w:r w:rsidRPr="00B34608">
                    <w:rPr>
                      <w:b/>
                      <w:bCs/>
                      <w:i/>
                      <w:sz w:val="20"/>
                      <w:lang w:eastAsia="lt-LT"/>
                    </w:rPr>
                    <w:t>1</w:t>
                  </w:r>
                  <w:r>
                    <w:rPr>
                      <w:b/>
                      <w:bCs/>
                      <w:i/>
                      <w:sz w:val="20"/>
                      <w:lang w:eastAsia="lt-LT"/>
                    </w:rPr>
                    <w:t>,</w:t>
                  </w:r>
                  <w:r w:rsidRPr="00B34608">
                    <w:rPr>
                      <w:b/>
                      <w:bCs/>
                      <w:i/>
                      <w:sz w:val="20"/>
                      <w:lang w:eastAsia="lt-LT"/>
                    </w:rPr>
                    <w:t>721</w:t>
                  </w: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4.6.</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Interest accrued on insurance compensations</w:t>
                  </w:r>
                  <w:r w:rsidRPr="00B34608">
                    <w:rPr>
                      <w:i/>
                      <w:sz w:val="20"/>
                    </w:rPr>
                    <w:t xml:space="preserve"> </w:t>
                  </w:r>
                  <w:r>
                    <w:rPr>
                      <w:i/>
                      <w:sz w:val="20"/>
                    </w:rPr>
                    <w:t>recovered through court</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
                      <w:bCs/>
                      <w:i/>
                      <w:sz w:val="20"/>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ind w:right="33"/>
                    <w:jc w:val="right"/>
                    <w:rPr>
                      <w:b/>
                      <w:bCs/>
                      <w:i/>
                      <w:sz w:val="20"/>
                      <w:lang w:eastAsia="lt-LT"/>
                    </w:rPr>
                  </w:pPr>
                  <w:r w:rsidRPr="00B34608">
                    <w:rPr>
                      <w:b/>
                      <w:bCs/>
                      <w:i/>
                      <w:sz w:val="20"/>
                      <w:lang w:eastAsia="lt-LT"/>
                    </w:rPr>
                    <w:t>(235)</w:t>
                  </w: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4.7.</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Fee for administration of the</w:t>
                  </w:r>
                  <w:r w:rsidRPr="00B34608">
                    <w:rPr>
                      <w:i/>
                      <w:sz w:val="20"/>
                    </w:rPr>
                    <w:t xml:space="preserve"> </w:t>
                  </w:r>
                  <w:r>
                    <w:rPr>
                      <w:i/>
                      <w:sz w:val="20"/>
                    </w:rPr>
                    <w:t>Fund</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
                      <w:bCs/>
                      <w:i/>
                      <w:sz w:val="20"/>
                      <w:lang w:eastAsia="lt-LT"/>
                    </w:rPr>
                  </w:pPr>
                  <w:r w:rsidRPr="00B34608">
                    <w:rPr>
                      <w:b/>
                      <w:bCs/>
                      <w:i/>
                      <w:sz w:val="20"/>
                      <w:lang w:eastAsia="lt-LT"/>
                    </w:rPr>
                    <w:t>(488</w:t>
                  </w:r>
                  <w:r>
                    <w:rPr>
                      <w:b/>
                      <w:bCs/>
                      <w:i/>
                      <w:sz w:val="20"/>
                      <w:lang w:eastAsia="lt-LT"/>
                    </w:rPr>
                    <w:t>,</w:t>
                  </w:r>
                  <w:r w:rsidRPr="00B34608">
                    <w:rPr>
                      <w:b/>
                      <w:bCs/>
                      <w:i/>
                      <w:sz w:val="20"/>
                      <w:lang w:eastAsia="lt-LT"/>
                    </w:rPr>
                    <w:t>953)</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
                      <w:bCs/>
                      <w:i/>
                      <w:sz w:val="20"/>
                      <w:lang w:eastAsia="lt-LT"/>
                    </w:rPr>
                  </w:pPr>
                  <w:r w:rsidRPr="00B34608">
                    <w:rPr>
                      <w:b/>
                      <w:bCs/>
                      <w:i/>
                      <w:sz w:val="20"/>
                      <w:lang w:eastAsia="lt-LT"/>
                    </w:rPr>
                    <w:t>(605</w:t>
                  </w:r>
                  <w:r>
                    <w:rPr>
                      <w:b/>
                      <w:bCs/>
                      <w:i/>
                      <w:sz w:val="20"/>
                      <w:lang w:eastAsia="lt-LT"/>
                    </w:rPr>
                    <w:t>,</w:t>
                  </w:r>
                  <w:r w:rsidRPr="00B34608">
                    <w:rPr>
                      <w:b/>
                      <w:bCs/>
                      <w:i/>
                      <w:sz w:val="20"/>
                      <w:lang w:eastAsia="lt-LT"/>
                    </w:rPr>
                    <w:t>528)</w:t>
                  </w: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4.8.</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sidRPr="00B34608">
                    <w:rPr>
                      <w:i/>
                      <w:sz w:val="20"/>
                    </w:rPr>
                    <w:t>Bank</w:t>
                  </w:r>
                  <w:r>
                    <w:rPr>
                      <w:i/>
                      <w:sz w:val="20"/>
                    </w:rPr>
                    <w:t xml:space="preserve"> commissions</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
                      <w:bCs/>
                      <w:i/>
                      <w:sz w:val="20"/>
                      <w:lang w:eastAsia="lt-LT"/>
                    </w:rPr>
                  </w:pP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
                      <w:bCs/>
                      <w:i/>
                      <w:sz w:val="20"/>
                      <w:lang w:eastAsia="lt-LT"/>
                    </w:rPr>
                  </w:pPr>
                  <w:r w:rsidRPr="00B34608">
                    <w:rPr>
                      <w:b/>
                      <w:bCs/>
                      <w:i/>
                      <w:sz w:val="20"/>
                      <w:lang w:eastAsia="lt-LT"/>
                    </w:rPr>
                    <w:t>(2)</w:t>
                  </w: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4.9.</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Negative results of previous periods</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
                      <w:bCs/>
                      <w:i/>
                      <w:sz w:val="20"/>
                      <w:lang w:eastAsia="lt-LT"/>
                    </w:rPr>
                  </w:pP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
                      <w:bCs/>
                      <w:i/>
                      <w:sz w:val="20"/>
                      <w:lang w:eastAsia="lt-LT"/>
                    </w:rPr>
                  </w:pPr>
                  <w:r w:rsidRPr="00B34608">
                    <w:rPr>
                      <w:b/>
                      <w:bCs/>
                      <w:i/>
                      <w:sz w:val="20"/>
                      <w:lang w:eastAsia="lt-LT"/>
                    </w:rPr>
                    <w:t>(42</w:t>
                  </w:r>
                  <w:r>
                    <w:rPr>
                      <w:b/>
                      <w:bCs/>
                      <w:i/>
                      <w:sz w:val="20"/>
                      <w:lang w:eastAsia="lt-LT"/>
                    </w:rPr>
                    <w:t>,</w:t>
                  </w:r>
                  <w:r w:rsidRPr="00B34608">
                    <w:rPr>
                      <w:b/>
                      <w:bCs/>
                      <w:i/>
                      <w:sz w:val="20"/>
                      <w:lang w:eastAsia="lt-LT"/>
                    </w:rPr>
                    <w:t>840)</w:t>
                  </w: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253"/>
                    </w:tabs>
                    <w:ind w:hanging="185"/>
                    <w:jc w:val="center"/>
                    <w:rPr>
                      <w:i/>
                      <w:sz w:val="20"/>
                    </w:rPr>
                  </w:pPr>
                  <w:r w:rsidRPr="00B34608">
                    <w:rPr>
                      <w:i/>
                      <w:sz w:val="20"/>
                    </w:rPr>
                    <w:t>4.10.</w:t>
                  </w:r>
                </w:p>
              </w:tc>
              <w:tc>
                <w:tcPr>
                  <w:tcW w:w="5601" w:type="dxa"/>
                  <w:tcBorders>
                    <w:top w:val="single" w:sz="4" w:space="0" w:color="auto"/>
                    <w:left w:val="single" w:sz="4" w:space="0" w:color="auto"/>
                    <w:bottom w:val="single" w:sz="4" w:space="0" w:color="auto"/>
                    <w:right w:val="single" w:sz="4" w:space="0" w:color="auto"/>
                  </w:tcBorders>
                  <w:vAlign w:val="bottom"/>
                </w:tcPr>
                <w:p w:rsidR="00D2569B" w:rsidRPr="00B34608" w:rsidRDefault="00D2569B" w:rsidP="00FE4ABE">
                  <w:pPr>
                    <w:tabs>
                      <w:tab w:val="left" w:pos="0"/>
                    </w:tabs>
                    <w:ind w:left="34"/>
                    <w:jc w:val="both"/>
                    <w:rPr>
                      <w:i/>
                      <w:sz w:val="20"/>
                    </w:rPr>
                  </w:pPr>
                  <w:r>
                    <w:rPr>
                      <w:i/>
                      <w:sz w:val="20"/>
                    </w:rPr>
                    <w:t xml:space="preserve">Insurance contributions of bankrupt CUs written down to expenses </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
                      <w:bCs/>
                      <w:i/>
                      <w:sz w:val="20"/>
                      <w:lang w:eastAsia="lt-LT"/>
                    </w:rPr>
                  </w:pPr>
                  <w:r w:rsidRPr="00B34608">
                    <w:rPr>
                      <w:b/>
                      <w:bCs/>
                      <w:i/>
                      <w:sz w:val="20"/>
                      <w:lang w:eastAsia="lt-LT"/>
                    </w:rPr>
                    <w:t>(1</w:t>
                  </w:r>
                  <w:r>
                    <w:rPr>
                      <w:b/>
                      <w:bCs/>
                      <w:i/>
                      <w:sz w:val="20"/>
                      <w:lang w:eastAsia="lt-LT"/>
                    </w:rPr>
                    <w:t>,</w:t>
                  </w:r>
                  <w:r w:rsidRPr="00B34608">
                    <w:rPr>
                      <w:b/>
                      <w:bCs/>
                      <w:i/>
                      <w:sz w:val="20"/>
                      <w:lang w:eastAsia="lt-LT"/>
                    </w:rPr>
                    <w:t>347)</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
                      <w:bCs/>
                      <w:i/>
                      <w:sz w:val="20"/>
                      <w:lang w:eastAsia="lt-LT"/>
                    </w:rPr>
                  </w:pPr>
                </w:p>
              </w:tc>
            </w:tr>
            <w:tr w:rsidR="00D2569B" w:rsidRPr="00B34608" w:rsidTr="00350AAA">
              <w:tc>
                <w:tcPr>
                  <w:tcW w:w="644"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tabs>
                      <w:tab w:val="left" w:pos="253"/>
                    </w:tabs>
                    <w:ind w:hanging="185"/>
                    <w:jc w:val="center"/>
                    <w:rPr>
                      <w:bCs/>
                      <w:sz w:val="20"/>
                      <w:lang w:eastAsia="lt-LT"/>
                    </w:rPr>
                  </w:pPr>
                </w:p>
              </w:tc>
              <w:tc>
                <w:tcPr>
                  <w:tcW w:w="5601"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left="34"/>
                    <w:jc w:val="both"/>
                    <w:rPr>
                      <w:b/>
                      <w:bCs/>
                      <w:sz w:val="20"/>
                      <w:lang w:eastAsia="lt-LT"/>
                    </w:rPr>
                  </w:pPr>
                  <w:r>
                    <w:rPr>
                      <w:b/>
                      <w:bCs/>
                      <w:sz w:val="20"/>
                      <w:lang w:eastAsia="lt-LT"/>
                    </w:rPr>
                    <w:t>Operating activity expenses</w:t>
                  </w:r>
                  <w:r w:rsidRPr="00B34608">
                    <w:rPr>
                      <w:b/>
                      <w:bCs/>
                      <w:sz w:val="20"/>
                      <w:lang w:eastAsia="lt-LT"/>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D2569B" w:rsidRPr="00B34608" w:rsidRDefault="00D2569B" w:rsidP="00FE4ABE">
                  <w:pPr>
                    <w:jc w:val="right"/>
                    <w:rPr>
                      <w:b/>
                      <w:bCs/>
                      <w:sz w:val="20"/>
                      <w:lang w:eastAsia="lt-LT"/>
                    </w:rPr>
                  </w:pPr>
                  <w:r>
                    <w:rPr>
                      <w:b/>
                      <w:bCs/>
                      <w:sz w:val="20"/>
                      <w:lang w:eastAsia="lt-LT"/>
                    </w:rPr>
                    <w:t>7,</w:t>
                  </w:r>
                  <w:r w:rsidRPr="00B34608">
                    <w:rPr>
                      <w:b/>
                      <w:bCs/>
                      <w:sz w:val="20"/>
                      <w:lang w:eastAsia="lt-LT"/>
                    </w:rPr>
                    <w:t>954</w:t>
                  </w:r>
                  <w:r>
                    <w:rPr>
                      <w:b/>
                      <w:bCs/>
                      <w:sz w:val="20"/>
                      <w:lang w:eastAsia="lt-LT"/>
                    </w:rPr>
                    <w:t>,</w:t>
                  </w:r>
                  <w:r w:rsidRPr="00B34608">
                    <w:rPr>
                      <w:b/>
                      <w:bCs/>
                      <w:sz w:val="20"/>
                      <w:lang w:eastAsia="lt-LT"/>
                    </w:rPr>
                    <w:t>264</w:t>
                  </w:r>
                </w:p>
              </w:tc>
              <w:tc>
                <w:tcPr>
                  <w:tcW w:w="1560" w:type="dxa"/>
                  <w:tcBorders>
                    <w:top w:val="single" w:sz="4" w:space="0" w:color="auto"/>
                    <w:left w:val="single" w:sz="4" w:space="0" w:color="auto"/>
                    <w:bottom w:val="single" w:sz="4" w:space="0" w:color="auto"/>
                    <w:right w:val="single" w:sz="4" w:space="0" w:color="auto"/>
                  </w:tcBorders>
                </w:tcPr>
                <w:p w:rsidR="00D2569B" w:rsidRPr="00B34608" w:rsidRDefault="00D2569B" w:rsidP="00FE4ABE">
                  <w:pPr>
                    <w:ind w:right="33"/>
                    <w:jc w:val="right"/>
                    <w:rPr>
                      <w:b/>
                      <w:bCs/>
                      <w:sz w:val="20"/>
                      <w:lang w:eastAsia="lt-LT"/>
                    </w:rPr>
                  </w:pPr>
                  <w:r w:rsidRPr="00B34608">
                    <w:rPr>
                      <w:b/>
                      <w:bCs/>
                      <w:sz w:val="20"/>
                      <w:lang w:eastAsia="lt-LT"/>
                    </w:rPr>
                    <w:t>(991</w:t>
                  </w:r>
                  <w:r>
                    <w:rPr>
                      <w:b/>
                      <w:bCs/>
                      <w:sz w:val="20"/>
                      <w:lang w:eastAsia="lt-LT"/>
                    </w:rPr>
                    <w:t>,</w:t>
                  </w:r>
                  <w:r w:rsidRPr="00B34608">
                    <w:rPr>
                      <w:b/>
                      <w:bCs/>
                      <w:sz w:val="20"/>
                      <w:lang w:eastAsia="lt-LT"/>
                    </w:rPr>
                    <w:t>038)</w:t>
                  </w:r>
                </w:p>
              </w:tc>
            </w:tr>
          </w:tbl>
          <w:p w:rsidR="00D2569B" w:rsidRPr="00B34608" w:rsidRDefault="00D2569B" w:rsidP="00AB367E">
            <w:pPr>
              <w:ind w:left="-1794" w:hanging="250"/>
              <w:jc w:val="both"/>
              <w:rPr>
                <w:sz w:val="24"/>
                <w:szCs w:val="24"/>
              </w:rPr>
            </w:pPr>
            <w:proofErr w:type="spellStart"/>
            <w:r w:rsidRPr="00B34608">
              <w:rPr>
                <w:color w:val="000000"/>
                <w:szCs w:val="22"/>
              </w:rPr>
              <w:t>taskaitinio</w:t>
            </w:r>
            <w:proofErr w:type="spellEnd"/>
            <w:r w:rsidRPr="00B34608">
              <w:rPr>
                <w:color w:val="000000"/>
                <w:szCs w:val="22"/>
              </w:rPr>
              <w:t xml:space="preserve"> </w:t>
            </w:r>
          </w:p>
          <w:p w:rsidR="00D2569B" w:rsidRPr="00B34608" w:rsidRDefault="00D2569B" w:rsidP="000B1FEA">
            <w:pPr>
              <w:pStyle w:val="Antrat1"/>
              <w:tabs>
                <w:tab w:val="left" w:pos="-344"/>
              </w:tabs>
              <w:spacing w:line="240" w:lineRule="auto"/>
              <w:ind w:left="-344"/>
              <w:jc w:val="both"/>
              <w:rPr>
                <w:sz w:val="24"/>
                <w:szCs w:val="24"/>
              </w:rPr>
            </w:pPr>
            <w:r w:rsidRPr="00B34608">
              <w:rPr>
                <w:sz w:val="24"/>
                <w:szCs w:val="24"/>
              </w:rPr>
              <w:t xml:space="preserve">11 </w:t>
            </w:r>
            <w:r>
              <w:rPr>
                <w:sz w:val="24"/>
                <w:szCs w:val="24"/>
              </w:rPr>
              <w:t xml:space="preserve">Note </w:t>
            </w:r>
            <w:r w:rsidRPr="00B34608">
              <w:rPr>
                <w:sz w:val="24"/>
                <w:szCs w:val="24"/>
              </w:rPr>
              <w:t xml:space="preserve">10. </w:t>
            </w:r>
            <w:r>
              <w:rPr>
                <w:sz w:val="24"/>
                <w:szCs w:val="24"/>
              </w:rPr>
              <w:t>Surplus or deficit from operating activities</w:t>
            </w:r>
          </w:p>
          <w:p w:rsidR="00D2569B" w:rsidRPr="00B34608" w:rsidRDefault="00D2569B" w:rsidP="000B1FEA">
            <w:pPr>
              <w:jc w:val="both"/>
              <w:rPr>
                <w:szCs w:val="22"/>
              </w:rPr>
            </w:pPr>
            <w:r w:rsidRPr="00B34608">
              <w:rPr>
                <w:szCs w:val="22"/>
              </w:rPr>
              <w:t xml:space="preserve">    </w:t>
            </w:r>
          </w:p>
          <w:p w:rsidR="00D2569B" w:rsidRPr="00B34608" w:rsidRDefault="00D2569B" w:rsidP="005A55A4">
            <w:pPr>
              <w:spacing w:line="276" w:lineRule="auto"/>
              <w:jc w:val="both"/>
              <w:rPr>
                <w:szCs w:val="22"/>
              </w:rPr>
            </w:pPr>
            <w:r w:rsidRPr="00B34608">
              <w:rPr>
                <w:szCs w:val="22"/>
              </w:rPr>
              <w:t xml:space="preserve">       </w:t>
            </w:r>
            <w:r>
              <w:rPr>
                <w:szCs w:val="22"/>
              </w:rPr>
              <w:t>Surplus from operating activities of EUR</w:t>
            </w:r>
            <w:r w:rsidRPr="00B34608">
              <w:rPr>
                <w:szCs w:val="22"/>
              </w:rPr>
              <w:t xml:space="preserve"> 29</w:t>
            </w:r>
            <w:r>
              <w:rPr>
                <w:szCs w:val="22"/>
              </w:rPr>
              <w:t>,</w:t>
            </w:r>
            <w:r w:rsidRPr="00B34608">
              <w:rPr>
                <w:szCs w:val="22"/>
              </w:rPr>
              <w:t>940</w:t>
            </w:r>
            <w:r>
              <w:rPr>
                <w:szCs w:val="22"/>
              </w:rPr>
              <w:t>,</w:t>
            </w:r>
            <w:r w:rsidRPr="00B34608">
              <w:rPr>
                <w:szCs w:val="22"/>
              </w:rPr>
              <w:t>790</w:t>
            </w:r>
            <w:r>
              <w:rPr>
                <w:szCs w:val="22"/>
              </w:rPr>
              <w:t xml:space="preserve"> is calculated as the sum of the amount of the operating activity income of EUR </w:t>
            </w:r>
            <w:r w:rsidRPr="00B34608">
              <w:rPr>
                <w:szCs w:val="22"/>
              </w:rPr>
              <w:t>21</w:t>
            </w:r>
            <w:r>
              <w:rPr>
                <w:szCs w:val="22"/>
              </w:rPr>
              <w:t>,</w:t>
            </w:r>
            <w:r w:rsidRPr="00B34608">
              <w:rPr>
                <w:szCs w:val="22"/>
              </w:rPr>
              <w:t>986</w:t>
            </w:r>
            <w:r>
              <w:rPr>
                <w:szCs w:val="22"/>
              </w:rPr>
              <w:t>,</w:t>
            </w:r>
            <w:r w:rsidRPr="00B34608">
              <w:rPr>
                <w:szCs w:val="22"/>
              </w:rPr>
              <w:t>526</w:t>
            </w:r>
            <w:r>
              <w:rPr>
                <w:szCs w:val="22"/>
              </w:rPr>
              <w:t xml:space="preserve"> and of the positive operating activity expenses of EUR 7,</w:t>
            </w:r>
            <w:r w:rsidRPr="00B34608">
              <w:rPr>
                <w:szCs w:val="22"/>
              </w:rPr>
              <w:t>954</w:t>
            </w:r>
            <w:r>
              <w:rPr>
                <w:szCs w:val="22"/>
              </w:rPr>
              <w:t>,</w:t>
            </w:r>
            <w:r w:rsidRPr="00B34608">
              <w:rPr>
                <w:szCs w:val="22"/>
              </w:rPr>
              <w:t>264 (</w:t>
            </w:r>
            <w:r>
              <w:rPr>
                <w:szCs w:val="22"/>
              </w:rPr>
              <w:t>see Note</w:t>
            </w:r>
            <w:r w:rsidRPr="00B34608">
              <w:rPr>
                <w:szCs w:val="22"/>
              </w:rPr>
              <w:t xml:space="preserve"> 9).</w:t>
            </w:r>
          </w:p>
          <w:p w:rsidR="00D2569B" w:rsidRPr="00B34608" w:rsidRDefault="00D2569B" w:rsidP="000B1FEA">
            <w:pPr>
              <w:spacing w:before="400" w:line="360" w:lineRule="auto"/>
              <w:jc w:val="both"/>
              <w:rPr>
                <w:sz w:val="24"/>
                <w:szCs w:val="24"/>
              </w:rPr>
            </w:pPr>
            <w:r>
              <w:rPr>
                <w:b/>
                <w:sz w:val="24"/>
                <w:szCs w:val="24"/>
              </w:rPr>
              <w:t xml:space="preserve">Note </w:t>
            </w:r>
            <w:r w:rsidRPr="00B34608">
              <w:rPr>
                <w:b/>
                <w:sz w:val="24"/>
                <w:szCs w:val="24"/>
              </w:rPr>
              <w:t>11</w:t>
            </w:r>
            <w:r>
              <w:rPr>
                <w:b/>
                <w:sz w:val="24"/>
                <w:szCs w:val="24"/>
              </w:rPr>
              <w:t>. Financing and investing activity result</w:t>
            </w:r>
            <w:r w:rsidRPr="00B34608">
              <w:rPr>
                <w:sz w:val="24"/>
                <w:szCs w:val="24"/>
              </w:rPr>
              <w:t xml:space="preserve"> </w:t>
            </w:r>
          </w:p>
          <w:p w:rsidR="00D2569B" w:rsidRPr="00B34608" w:rsidRDefault="00D2569B" w:rsidP="005A55A4">
            <w:pPr>
              <w:spacing w:line="276" w:lineRule="auto"/>
              <w:jc w:val="both"/>
              <w:rPr>
                <w:szCs w:val="22"/>
              </w:rPr>
            </w:pPr>
            <w:r w:rsidRPr="00B34608">
              <w:rPr>
                <w:szCs w:val="22"/>
              </w:rPr>
              <w:t xml:space="preserve">         </w:t>
            </w:r>
            <w:r>
              <w:rPr>
                <w:szCs w:val="22"/>
              </w:rPr>
              <w:t xml:space="preserve">In </w:t>
            </w:r>
            <w:r w:rsidRPr="00B34608">
              <w:rPr>
                <w:szCs w:val="22"/>
              </w:rPr>
              <w:t>2017</w:t>
            </w:r>
            <w:r>
              <w:rPr>
                <w:szCs w:val="22"/>
              </w:rPr>
              <w:t>, financing and investing activity income totalled EUR</w:t>
            </w:r>
            <w:r w:rsidRPr="00B34608">
              <w:rPr>
                <w:szCs w:val="22"/>
              </w:rPr>
              <w:t xml:space="preserve"> 538, </w:t>
            </w:r>
            <w:r>
              <w:rPr>
                <w:szCs w:val="22"/>
              </w:rPr>
              <w:t>i.e. interest income from funds held in a bank account and penalties paid by deposit insurance participants relating to insurance contributions.</w:t>
            </w:r>
            <w:r w:rsidRPr="00B34608">
              <w:rPr>
                <w:szCs w:val="22"/>
              </w:rPr>
              <w:t xml:space="preserve"> </w:t>
            </w:r>
            <w:r>
              <w:rPr>
                <w:szCs w:val="22"/>
              </w:rPr>
              <w:t>Financing and investing activity expenses comprised interest paid on the loan according to Agreement No</w:t>
            </w:r>
            <w:r w:rsidRPr="00B34608">
              <w:rPr>
                <w:szCs w:val="22"/>
              </w:rPr>
              <w:t xml:space="preserve"> 804 (</w:t>
            </w:r>
            <w:r>
              <w:rPr>
                <w:szCs w:val="22"/>
              </w:rPr>
              <w:t>see Note</w:t>
            </w:r>
            <w:r w:rsidRPr="00B34608">
              <w:rPr>
                <w:szCs w:val="22"/>
              </w:rPr>
              <w:t xml:space="preserve"> 5</w:t>
            </w:r>
            <w:r>
              <w:rPr>
                <w:szCs w:val="22"/>
              </w:rPr>
              <w:t xml:space="preserve"> for more information</w:t>
            </w:r>
            <w:r w:rsidRPr="00B34608">
              <w:rPr>
                <w:szCs w:val="22"/>
              </w:rPr>
              <w:t xml:space="preserve">). </w:t>
            </w:r>
          </w:p>
          <w:p w:rsidR="00D2569B" w:rsidRPr="00B34608" w:rsidRDefault="00D2569B" w:rsidP="005A55A4">
            <w:pPr>
              <w:spacing w:line="276" w:lineRule="auto"/>
              <w:ind w:hanging="250"/>
              <w:jc w:val="both"/>
              <w:rPr>
                <w:i/>
                <w:szCs w:val="22"/>
              </w:rPr>
            </w:pPr>
          </w:p>
          <w:p w:rsidR="00D2569B" w:rsidRPr="00B34608" w:rsidRDefault="00D2569B" w:rsidP="008A3DEB">
            <w:pPr>
              <w:jc w:val="both"/>
              <w:rPr>
                <w:i/>
                <w:szCs w:val="22"/>
              </w:rPr>
            </w:pPr>
            <w:r>
              <w:rPr>
                <w:i/>
                <w:szCs w:val="22"/>
              </w:rPr>
              <w:t xml:space="preserve">Table </w:t>
            </w:r>
            <w:r w:rsidRPr="00B34608">
              <w:rPr>
                <w:i/>
                <w:szCs w:val="22"/>
              </w:rPr>
              <w:t>9</w:t>
            </w:r>
            <w:r>
              <w:rPr>
                <w:i/>
                <w:szCs w:val="22"/>
              </w:rPr>
              <w:t xml:space="preserve">. Financing and investing activity income and expenses </w:t>
            </w:r>
            <w:r w:rsidRPr="00B34608">
              <w:rPr>
                <w:i/>
                <w:szCs w:val="22"/>
              </w:rPr>
              <w:t xml:space="preserve"> </w:t>
            </w:r>
          </w:p>
          <w:tbl>
            <w:tblPr>
              <w:tblW w:w="9356" w:type="dxa"/>
              <w:jc w:val="center"/>
              <w:tblLayout w:type="fixed"/>
              <w:tblLook w:val="00A0" w:firstRow="1" w:lastRow="0" w:firstColumn="1" w:lastColumn="0" w:noHBand="0" w:noVBand="0"/>
            </w:tblPr>
            <w:tblGrid>
              <w:gridCol w:w="815"/>
              <w:gridCol w:w="5564"/>
              <w:gridCol w:w="1418"/>
              <w:gridCol w:w="1559"/>
            </w:tblGrid>
            <w:tr w:rsidR="00D2569B" w:rsidRPr="00B34608" w:rsidTr="00BA5A6C">
              <w:trPr>
                <w:trHeight w:val="772"/>
                <w:jc w:val="center"/>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rsidR="00D2569B" w:rsidRPr="00B34608" w:rsidRDefault="00D2569B" w:rsidP="009966A3">
                  <w:pPr>
                    <w:tabs>
                      <w:tab w:val="left" w:pos="0"/>
                    </w:tabs>
                    <w:jc w:val="center"/>
                    <w:rPr>
                      <w:b/>
                      <w:bCs/>
                      <w:sz w:val="20"/>
                    </w:rPr>
                  </w:pPr>
                  <w:r>
                    <w:rPr>
                      <w:b/>
                      <w:bCs/>
                      <w:sz w:val="20"/>
                    </w:rPr>
                    <w:t>Seq. No</w:t>
                  </w:r>
                </w:p>
              </w:tc>
              <w:tc>
                <w:tcPr>
                  <w:tcW w:w="5564" w:type="dxa"/>
                  <w:tcBorders>
                    <w:top w:val="single" w:sz="4" w:space="0" w:color="auto"/>
                    <w:left w:val="nil"/>
                    <w:bottom w:val="single" w:sz="4" w:space="0" w:color="auto"/>
                    <w:right w:val="single" w:sz="4" w:space="0" w:color="auto"/>
                  </w:tcBorders>
                  <w:shd w:val="clear" w:color="000000" w:fill="FFFFFF"/>
                  <w:vAlign w:val="center"/>
                </w:tcPr>
                <w:p w:rsidR="00D2569B" w:rsidRPr="00B34608" w:rsidRDefault="00D2569B" w:rsidP="009966A3">
                  <w:pPr>
                    <w:tabs>
                      <w:tab w:val="left" w:pos="0"/>
                    </w:tabs>
                    <w:jc w:val="center"/>
                    <w:rPr>
                      <w:b/>
                      <w:bCs/>
                      <w:sz w:val="20"/>
                    </w:rPr>
                  </w:pPr>
                  <w:r>
                    <w:rPr>
                      <w:b/>
                      <w:bCs/>
                      <w:sz w:val="20"/>
                    </w:rPr>
                    <w:t>Item</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D2569B" w:rsidRPr="00B34608" w:rsidRDefault="00D2569B" w:rsidP="009966A3">
                  <w:pPr>
                    <w:tabs>
                      <w:tab w:val="left" w:pos="0"/>
                    </w:tabs>
                    <w:jc w:val="center"/>
                    <w:rPr>
                      <w:b/>
                      <w:bCs/>
                      <w:sz w:val="20"/>
                    </w:rPr>
                  </w:pPr>
                  <w:r>
                    <w:rPr>
                      <w:b/>
                      <w:bCs/>
                      <w:sz w:val="20"/>
                    </w:rPr>
                    <w:t xml:space="preserve">31 12 </w:t>
                  </w:r>
                  <w:r w:rsidRPr="00B34608">
                    <w:rPr>
                      <w:b/>
                      <w:bCs/>
                      <w:sz w:val="20"/>
                    </w:rPr>
                    <w:t>2017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D2569B" w:rsidRPr="00B34608" w:rsidRDefault="00D2569B" w:rsidP="009966A3">
                  <w:pPr>
                    <w:tabs>
                      <w:tab w:val="left" w:pos="0"/>
                    </w:tabs>
                    <w:jc w:val="center"/>
                    <w:rPr>
                      <w:b/>
                      <w:bCs/>
                      <w:sz w:val="20"/>
                    </w:rPr>
                  </w:pPr>
                  <w:r>
                    <w:rPr>
                      <w:b/>
                      <w:bCs/>
                      <w:sz w:val="20"/>
                    </w:rPr>
                    <w:t xml:space="preserve">31 12 </w:t>
                  </w:r>
                  <w:r w:rsidRPr="00B34608">
                    <w:rPr>
                      <w:b/>
                      <w:bCs/>
                      <w:sz w:val="20"/>
                    </w:rPr>
                    <w:t>201</w:t>
                  </w:r>
                  <w:r>
                    <w:rPr>
                      <w:b/>
                      <w:bCs/>
                      <w:sz w:val="20"/>
                    </w:rPr>
                    <w:t>6</w:t>
                  </w:r>
                </w:p>
              </w:tc>
            </w:tr>
            <w:tr w:rsidR="00D2569B" w:rsidRPr="00B34608" w:rsidTr="00BA5A6C">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center"/>
                </w:tcPr>
                <w:p w:rsidR="00D2569B" w:rsidRPr="00B34608" w:rsidRDefault="00D2569B" w:rsidP="008A3DEB">
                  <w:pPr>
                    <w:tabs>
                      <w:tab w:val="left" w:pos="0"/>
                    </w:tabs>
                    <w:ind w:hanging="83"/>
                    <w:jc w:val="center"/>
                    <w:rPr>
                      <w:sz w:val="20"/>
                    </w:rPr>
                  </w:pPr>
                  <w:r w:rsidRPr="00B34608">
                    <w:rPr>
                      <w:sz w:val="20"/>
                    </w:rPr>
                    <w:t>1</w:t>
                  </w:r>
                </w:p>
              </w:tc>
              <w:tc>
                <w:tcPr>
                  <w:tcW w:w="5564" w:type="dxa"/>
                  <w:tcBorders>
                    <w:top w:val="nil"/>
                    <w:left w:val="nil"/>
                    <w:bottom w:val="single" w:sz="4" w:space="0" w:color="auto"/>
                    <w:right w:val="single" w:sz="4" w:space="0" w:color="auto"/>
                  </w:tcBorders>
                  <w:shd w:val="clear" w:color="000000" w:fill="FFFFFF"/>
                  <w:vAlign w:val="center"/>
                </w:tcPr>
                <w:p w:rsidR="00D2569B" w:rsidRPr="00B34608" w:rsidRDefault="00D2569B" w:rsidP="008A3DEB">
                  <w:pPr>
                    <w:tabs>
                      <w:tab w:val="left" w:pos="0"/>
                    </w:tabs>
                    <w:jc w:val="center"/>
                    <w:rPr>
                      <w:sz w:val="20"/>
                    </w:rPr>
                  </w:pPr>
                  <w:r w:rsidRPr="00B34608">
                    <w:rPr>
                      <w:sz w:val="20"/>
                    </w:rPr>
                    <w:t>2</w:t>
                  </w:r>
                </w:p>
              </w:tc>
              <w:tc>
                <w:tcPr>
                  <w:tcW w:w="1418" w:type="dxa"/>
                  <w:tcBorders>
                    <w:top w:val="nil"/>
                    <w:left w:val="nil"/>
                    <w:bottom w:val="single" w:sz="4" w:space="0" w:color="auto"/>
                    <w:right w:val="single" w:sz="4" w:space="0" w:color="auto"/>
                  </w:tcBorders>
                  <w:shd w:val="clear" w:color="000000" w:fill="FFFFFF"/>
                  <w:vAlign w:val="center"/>
                </w:tcPr>
                <w:p w:rsidR="00D2569B" w:rsidRPr="00B34608" w:rsidRDefault="00D2569B" w:rsidP="008A3DEB">
                  <w:pPr>
                    <w:tabs>
                      <w:tab w:val="left" w:pos="0"/>
                    </w:tabs>
                    <w:jc w:val="center"/>
                    <w:rPr>
                      <w:sz w:val="20"/>
                    </w:rPr>
                  </w:pPr>
                  <w:r w:rsidRPr="00B34608">
                    <w:rPr>
                      <w:sz w:val="20"/>
                    </w:rPr>
                    <w:t>3</w:t>
                  </w: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8A3DEB">
                  <w:pPr>
                    <w:tabs>
                      <w:tab w:val="left" w:pos="0"/>
                    </w:tabs>
                    <w:jc w:val="center"/>
                    <w:rPr>
                      <w:sz w:val="20"/>
                    </w:rPr>
                  </w:pPr>
                  <w:r w:rsidRPr="00B34608">
                    <w:rPr>
                      <w:sz w:val="20"/>
                    </w:rPr>
                    <w:t>4</w:t>
                  </w:r>
                </w:p>
              </w:tc>
            </w:tr>
            <w:tr w:rsidR="00D2569B" w:rsidRPr="00B34608" w:rsidTr="00BA5A6C">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5D53CA">
                  <w:pPr>
                    <w:tabs>
                      <w:tab w:val="left" w:pos="0"/>
                    </w:tabs>
                    <w:ind w:hanging="83"/>
                    <w:jc w:val="both"/>
                    <w:rPr>
                      <w:b/>
                      <w:bCs/>
                      <w:sz w:val="20"/>
                    </w:rPr>
                  </w:pPr>
                  <w:r w:rsidRPr="00B34608">
                    <w:rPr>
                      <w:b/>
                      <w:bCs/>
                      <w:sz w:val="20"/>
                    </w:rPr>
                    <w:t>1.</w:t>
                  </w:r>
                </w:p>
              </w:tc>
              <w:tc>
                <w:tcPr>
                  <w:tcW w:w="5564" w:type="dxa"/>
                  <w:tcBorders>
                    <w:top w:val="nil"/>
                    <w:left w:val="nil"/>
                    <w:bottom w:val="single" w:sz="4" w:space="0" w:color="auto"/>
                    <w:right w:val="single" w:sz="4" w:space="0" w:color="auto"/>
                  </w:tcBorders>
                  <w:shd w:val="clear" w:color="000000" w:fill="FFFFFF"/>
                  <w:vAlign w:val="bottom"/>
                </w:tcPr>
                <w:p w:rsidR="00D2569B" w:rsidRPr="00B34608" w:rsidRDefault="00D2569B" w:rsidP="005D53CA">
                  <w:pPr>
                    <w:tabs>
                      <w:tab w:val="left" w:pos="0"/>
                    </w:tabs>
                    <w:jc w:val="both"/>
                    <w:rPr>
                      <w:b/>
                      <w:bCs/>
                      <w:sz w:val="20"/>
                    </w:rPr>
                  </w:pPr>
                  <w:r w:rsidRPr="00B34608">
                    <w:rPr>
                      <w:b/>
                      <w:bCs/>
                      <w:sz w:val="20"/>
                    </w:rPr>
                    <w:t>Finan</w:t>
                  </w:r>
                  <w:r>
                    <w:rPr>
                      <w:b/>
                      <w:bCs/>
                      <w:sz w:val="20"/>
                    </w:rPr>
                    <w:t>cing and investing activity income</w:t>
                  </w:r>
                </w:p>
              </w:tc>
              <w:tc>
                <w:tcPr>
                  <w:tcW w:w="1418" w:type="dxa"/>
                  <w:tcBorders>
                    <w:top w:val="nil"/>
                    <w:left w:val="nil"/>
                    <w:bottom w:val="single" w:sz="4" w:space="0" w:color="auto"/>
                    <w:right w:val="single" w:sz="4" w:space="0" w:color="auto"/>
                  </w:tcBorders>
                  <w:shd w:val="clear" w:color="000000" w:fill="FFFFFF"/>
                  <w:vAlign w:val="bottom"/>
                </w:tcPr>
                <w:p w:rsidR="00D2569B" w:rsidRPr="00B34608" w:rsidRDefault="00D2569B" w:rsidP="00AB4E86">
                  <w:pPr>
                    <w:tabs>
                      <w:tab w:val="left" w:pos="0"/>
                    </w:tabs>
                    <w:jc w:val="right"/>
                    <w:rPr>
                      <w:b/>
                      <w:bCs/>
                      <w:sz w:val="20"/>
                    </w:rPr>
                  </w:pPr>
                  <w:r w:rsidRPr="00B34608">
                    <w:rPr>
                      <w:b/>
                      <w:bCs/>
                      <w:sz w:val="20"/>
                    </w:rPr>
                    <w:t>538</w:t>
                  </w: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AB4E86">
                  <w:pPr>
                    <w:tabs>
                      <w:tab w:val="left" w:pos="0"/>
                    </w:tabs>
                    <w:jc w:val="right"/>
                    <w:rPr>
                      <w:b/>
                      <w:bCs/>
                      <w:sz w:val="20"/>
                    </w:rPr>
                  </w:pPr>
                  <w:r w:rsidRPr="00B34608">
                    <w:rPr>
                      <w:b/>
                      <w:bCs/>
                      <w:sz w:val="20"/>
                    </w:rPr>
                    <w:t>5</w:t>
                  </w:r>
                  <w:r>
                    <w:rPr>
                      <w:b/>
                      <w:bCs/>
                      <w:sz w:val="20"/>
                    </w:rPr>
                    <w:t>,</w:t>
                  </w:r>
                  <w:r w:rsidRPr="00B34608">
                    <w:rPr>
                      <w:b/>
                      <w:bCs/>
                      <w:sz w:val="20"/>
                    </w:rPr>
                    <w:t>256</w:t>
                  </w:r>
                </w:p>
              </w:tc>
            </w:tr>
            <w:tr w:rsidR="00D2569B" w:rsidRPr="00B34608" w:rsidTr="00BA5A6C">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5D53CA">
                  <w:pPr>
                    <w:tabs>
                      <w:tab w:val="left" w:pos="0"/>
                    </w:tabs>
                    <w:ind w:hanging="83"/>
                    <w:jc w:val="both"/>
                    <w:rPr>
                      <w:sz w:val="20"/>
                    </w:rPr>
                  </w:pPr>
                  <w:r w:rsidRPr="00B34608">
                    <w:rPr>
                      <w:sz w:val="20"/>
                    </w:rPr>
                    <w:t>1.1.</w:t>
                  </w:r>
                </w:p>
              </w:tc>
              <w:tc>
                <w:tcPr>
                  <w:tcW w:w="5564" w:type="dxa"/>
                  <w:tcBorders>
                    <w:top w:val="nil"/>
                    <w:left w:val="nil"/>
                    <w:bottom w:val="single" w:sz="4" w:space="0" w:color="auto"/>
                    <w:right w:val="single" w:sz="4" w:space="0" w:color="auto"/>
                  </w:tcBorders>
                  <w:shd w:val="clear" w:color="000000" w:fill="FFFFFF"/>
                  <w:vAlign w:val="bottom"/>
                </w:tcPr>
                <w:p w:rsidR="00D2569B" w:rsidRPr="00B34608" w:rsidRDefault="00D2569B" w:rsidP="005D53CA">
                  <w:pPr>
                    <w:tabs>
                      <w:tab w:val="left" w:pos="0"/>
                    </w:tabs>
                    <w:jc w:val="both"/>
                    <w:rPr>
                      <w:sz w:val="20"/>
                    </w:rPr>
                  </w:pPr>
                  <w:r>
                    <w:rPr>
                      <w:sz w:val="20"/>
                    </w:rPr>
                    <w:t xml:space="preserve">Gains from exchange rate changes </w:t>
                  </w:r>
                </w:p>
              </w:tc>
              <w:tc>
                <w:tcPr>
                  <w:tcW w:w="1418" w:type="dxa"/>
                  <w:tcBorders>
                    <w:top w:val="nil"/>
                    <w:left w:val="nil"/>
                    <w:bottom w:val="single" w:sz="4" w:space="0" w:color="auto"/>
                    <w:right w:val="single" w:sz="4" w:space="0" w:color="auto"/>
                  </w:tcBorders>
                  <w:shd w:val="clear" w:color="000000" w:fill="FFFFFF"/>
                  <w:vAlign w:val="bottom"/>
                </w:tcPr>
                <w:p w:rsidR="00D2569B" w:rsidRPr="00B34608" w:rsidRDefault="00D2569B" w:rsidP="00AB4E86">
                  <w:pPr>
                    <w:tabs>
                      <w:tab w:val="left" w:pos="0"/>
                    </w:tabs>
                    <w:jc w:val="right"/>
                    <w:rPr>
                      <w:sz w:val="20"/>
                    </w:rPr>
                  </w:pP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AB4E86">
                  <w:pPr>
                    <w:tabs>
                      <w:tab w:val="left" w:pos="0"/>
                    </w:tabs>
                    <w:jc w:val="right"/>
                    <w:rPr>
                      <w:sz w:val="20"/>
                    </w:rPr>
                  </w:pPr>
                </w:p>
              </w:tc>
            </w:tr>
            <w:tr w:rsidR="00D2569B" w:rsidRPr="00B34608" w:rsidTr="00BA5A6C">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5D53CA">
                  <w:pPr>
                    <w:tabs>
                      <w:tab w:val="left" w:pos="0"/>
                    </w:tabs>
                    <w:ind w:hanging="83"/>
                    <w:jc w:val="both"/>
                    <w:rPr>
                      <w:sz w:val="20"/>
                    </w:rPr>
                  </w:pPr>
                  <w:r w:rsidRPr="00B34608">
                    <w:rPr>
                      <w:sz w:val="20"/>
                    </w:rPr>
                    <w:t>1.2.</w:t>
                  </w:r>
                </w:p>
              </w:tc>
              <w:tc>
                <w:tcPr>
                  <w:tcW w:w="5564" w:type="dxa"/>
                  <w:tcBorders>
                    <w:top w:val="nil"/>
                    <w:left w:val="nil"/>
                    <w:bottom w:val="single" w:sz="4" w:space="0" w:color="auto"/>
                    <w:right w:val="single" w:sz="4" w:space="0" w:color="auto"/>
                  </w:tcBorders>
                  <w:shd w:val="clear" w:color="000000" w:fill="FFFFFF"/>
                  <w:vAlign w:val="bottom"/>
                </w:tcPr>
                <w:p w:rsidR="00D2569B" w:rsidRPr="00B34608" w:rsidRDefault="00D2569B" w:rsidP="005D53CA">
                  <w:pPr>
                    <w:tabs>
                      <w:tab w:val="left" w:pos="0"/>
                    </w:tabs>
                    <w:jc w:val="both"/>
                    <w:rPr>
                      <w:sz w:val="20"/>
                    </w:rPr>
                  </w:pPr>
                  <w:r>
                    <w:rPr>
                      <w:sz w:val="20"/>
                    </w:rPr>
                    <w:t>Income from fines and penalties</w:t>
                  </w:r>
                </w:p>
              </w:tc>
              <w:tc>
                <w:tcPr>
                  <w:tcW w:w="1418" w:type="dxa"/>
                  <w:tcBorders>
                    <w:top w:val="nil"/>
                    <w:left w:val="nil"/>
                    <w:bottom w:val="single" w:sz="4" w:space="0" w:color="auto"/>
                    <w:right w:val="single" w:sz="4" w:space="0" w:color="auto"/>
                  </w:tcBorders>
                  <w:shd w:val="clear" w:color="000000" w:fill="FFFFFF"/>
                  <w:vAlign w:val="bottom"/>
                </w:tcPr>
                <w:p w:rsidR="00D2569B" w:rsidRPr="00B34608" w:rsidRDefault="00D2569B" w:rsidP="00AB4E86">
                  <w:pPr>
                    <w:tabs>
                      <w:tab w:val="left" w:pos="0"/>
                    </w:tabs>
                    <w:jc w:val="right"/>
                    <w:rPr>
                      <w:sz w:val="20"/>
                    </w:rPr>
                  </w:pP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AB4E86">
                  <w:pPr>
                    <w:tabs>
                      <w:tab w:val="left" w:pos="0"/>
                    </w:tabs>
                    <w:jc w:val="right"/>
                    <w:rPr>
                      <w:sz w:val="20"/>
                    </w:rPr>
                  </w:pPr>
                </w:p>
              </w:tc>
            </w:tr>
            <w:tr w:rsidR="00D2569B" w:rsidRPr="00B34608" w:rsidTr="00BA5A6C">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5D53CA">
                  <w:pPr>
                    <w:tabs>
                      <w:tab w:val="left" w:pos="0"/>
                    </w:tabs>
                    <w:ind w:hanging="83"/>
                    <w:jc w:val="both"/>
                    <w:rPr>
                      <w:sz w:val="20"/>
                    </w:rPr>
                  </w:pPr>
                  <w:r w:rsidRPr="00B34608">
                    <w:rPr>
                      <w:sz w:val="20"/>
                    </w:rPr>
                    <w:t>1.3.</w:t>
                  </w:r>
                </w:p>
              </w:tc>
              <w:tc>
                <w:tcPr>
                  <w:tcW w:w="5564" w:type="dxa"/>
                  <w:tcBorders>
                    <w:top w:val="nil"/>
                    <w:left w:val="nil"/>
                    <w:bottom w:val="single" w:sz="4" w:space="0" w:color="auto"/>
                    <w:right w:val="single" w:sz="4" w:space="0" w:color="auto"/>
                  </w:tcBorders>
                  <w:shd w:val="clear" w:color="000000" w:fill="FFFFFF"/>
                  <w:vAlign w:val="bottom"/>
                </w:tcPr>
                <w:p w:rsidR="00D2569B" w:rsidRPr="00B34608" w:rsidRDefault="00D2569B" w:rsidP="005D53CA">
                  <w:pPr>
                    <w:tabs>
                      <w:tab w:val="left" w:pos="0"/>
                    </w:tabs>
                    <w:jc w:val="both"/>
                    <w:rPr>
                      <w:sz w:val="20"/>
                    </w:rPr>
                  </w:pPr>
                  <w:r>
                    <w:rPr>
                      <w:sz w:val="20"/>
                    </w:rPr>
                    <w:t>Interest income</w:t>
                  </w:r>
                  <w:r w:rsidRPr="00B34608">
                    <w:rPr>
                      <w:sz w:val="20"/>
                    </w:rPr>
                    <w:t xml:space="preserve">: </w:t>
                  </w:r>
                </w:p>
              </w:tc>
              <w:tc>
                <w:tcPr>
                  <w:tcW w:w="1418" w:type="dxa"/>
                  <w:tcBorders>
                    <w:top w:val="nil"/>
                    <w:left w:val="nil"/>
                    <w:bottom w:val="single" w:sz="4" w:space="0" w:color="auto"/>
                    <w:right w:val="single" w:sz="4" w:space="0" w:color="auto"/>
                  </w:tcBorders>
                  <w:shd w:val="clear" w:color="000000" w:fill="FFFFFF"/>
                  <w:vAlign w:val="bottom"/>
                </w:tcPr>
                <w:p w:rsidR="00D2569B" w:rsidRPr="00B34608" w:rsidRDefault="00D2569B" w:rsidP="00AB4E86">
                  <w:pPr>
                    <w:tabs>
                      <w:tab w:val="left" w:pos="0"/>
                    </w:tabs>
                    <w:jc w:val="right"/>
                    <w:rPr>
                      <w:sz w:val="20"/>
                    </w:rPr>
                  </w:pPr>
                  <w:r w:rsidRPr="00B34608">
                    <w:rPr>
                      <w:sz w:val="20"/>
                    </w:rPr>
                    <w:t>537</w:t>
                  </w: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AB4E86">
                  <w:pPr>
                    <w:tabs>
                      <w:tab w:val="left" w:pos="0"/>
                    </w:tabs>
                    <w:jc w:val="right"/>
                    <w:rPr>
                      <w:sz w:val="20"/>
                    </w:rPr>
                  </w:pPr>
                  <w:r>
                    <w:rPr>
                      <w:sz w:val="20"/>
                    </w:rPr>
                    <w:t>5,</w:t>
                  </w:r>
                  <w:r w:rsidRPr="00B34608">
                    <w:rPr>
                      <w:sz w:val="20"/>
                    </w:rPr>
                    <w:t>256</w:t>
                  </w:r>
                </w:p>
              </w:tc>
            </w:tr>
            <w:tr w:rsidR="00D2569B" w:rsidRPr="00B34608" w:rsidTr="00BA5A6C">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5D53CA">
                  <w:pPr>
                    <w:tabs>
                      <w:tab w:val="left" w:pos="0"/>
                    </w:tabs>
                    <w:ind w:hanging="83"/>
                    <w:jc w:val="both"/>
                    <w:rPr>
                      <w:i/>
                      <w:sz w:val="20"/>
                    </w:rPr>
                  </w:pPr>
                  <w:r w:rsidRPr="00B34608">
                    <w:rPr>
                      <w:i/>
                      <w:sz w:val="20"/>
                    </w:rPr>
                    <w:t>1.3.1.</w:t>
                  </w:r>
                </w:p>
              </w:tc>
              <w:tc>
                <w:tcPr>
                  <w:tcW w:w="5564" w:type="dxa"/>
                  <w:tcBorders>
                    <w:top w:val="nil"/>
                    <w:left w:val="nil"/>
                    <w:bottom w:val="single" w:sz="4" w:space="0" w:color="auto"/>
                    <w:right w:val="single" w:sz="4" w:space="0" w:color="auto"/>
                  </w:tcBorders>
                  <w:shd w:val="clear" w:color="000000" w:fill="FFFFFF"/>
                  <w:vAlign w:val="bottom"/>
                </w:tcPr>
                <w:p w:rsidR="00D2569B" w:rsidRPr="00B34608" w:rsidRDefault="00D2569B" w:rsidP="005D53CA">
                  <w:pPr>
                    <w:tabs>
                      <w:tab w:val="left" w:pos="0"/>
                    </w:tabs>
                    <w:jc w:val="both"/>
                    <w:rPr>
                      <w:i/>
                      <w:sz w:val="20"/>
                    </w:rPr>
                  </w:pPr>
                  <w:r>
                    <w:rPr>
                      <w:i/>
                      <w:sz w:val="20"/>
                    </w:rPr>
                    <w:t>DIMA interest on funds held in bank accounts</w:t>
                  </w:r>
                  <w:r w:rsidRPr="00B34608">
                    <w:rPr>
                      <w:i/>
                      <w:sz w:val="20"/>
                    </w:rPr>
                    <w:t xml:space="preserve"> </w:t>
                  </w:r>
                </w:p>
              </w:tc>
              <w:tc>
                <w:tcPr>
                  <w:tcW w:w="1418" w:type="dxa"/>
                  <w:tcBorders>
                    <w:top w:val="nil"/>
                    <w:left w:val="nil"/>
                    <w:bottom w:val="single" w:sz="4" w:space="0" w:color="auto"/>
                    <w:right w:val="single" w:sz="4" w:space="0" w:color="auto"/>
                  </w:tcBorders>
                  <w:shd w:val="clear" w:color="000000" w:fill="FFFFFF"/>
                  <w:vAlign w:val="bottom"/>
                </w:tcPr>
                <w:p w:rsidR="00D2569B" w:rsidRPr="00B34608" w:rsidRDefault="00D2569B" w:rsidP="00AB4E86">
                  <w:pPr>
                    <w:tabs>
                      <w:tab w:val="left" w:pos="0"/>
                    </w:tabs>
                    <w:jc w:val="right"/>
                    <w:rPr>
                      <w:i/>
                      <w:sz w:val="20"/>
                    </w:rPr>
                  </w:pPr>
                  <w:r w:rsidRPr="00B34608">
                    <w:rPr>
                      <w:i/>
                      <w:sz w:val="20"/>
                    </w:rPr>
                    <w:t>537</w:t>
                  </w: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AB4E86">
                  <w:pPr>
                    <w:tabs>
                      <w:tab w:val="left" w:pos="0"/>
                    </w:tabs>
                    <w:jc w:val="right"/>
                    <w:rPr>
                      <w:i/>
                      <w:sz w:val="20"/>
                    </w:rPr>
                  </w:pPr>
                  <w:r w:rsidRPr="00B34608">
                    <w:rPr>
                      <w:i/>
                      <w:sz w:val="20"/>
                    </w:rPr>
                    <w:t>537</w:t>
                  </w:r>
                </w:p>
              </w:tc>
            </w:tr>
            <w:tr w:rsidR="00D2569B" w:rsidRPr="00B34608" w:rsidTr="00BA5A6C">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5D53CA">
                  <w:pPr>
                    <w:tabs>
                      <w:tab w:val="left" w:pos="0"/>
                    </w:tabs>
                    <w:ind w:hanging="83"/>
                    <w:jc w:val="both"/>
                    <w:rPr>
                      <w:i/>
                      <w:sz w:val="20"/>
                    </w:rPr>
                  </w:pPr>
                  <w:r w:rsidRPr="00B34608">
                    <w:rPr>
                      <w:i/>
                      <w:sz w:val="20"/>
                    </w:rPr>
                    <w:t>1.3.2.</w:t>
                  </w:r>
                </w:p>
              </w:tc>
              <w:tc>
                <w:tcPr>
                  <w:tcW w:w="5564" w:type="dxa"/>
                  <w:tcBorders>
                    <w:top w:val="nil"/>
                    <w:left w:val="nil"/>
                    <w:bottom w:val="single" w:sz="4" w:space="0" w:color="auto"/>
                    <w:right w:val="single" w:sz="4" w:space="0" w:color="auto"/>
                  </w:tcBorders>
                  <w:shd w:val="clear" w:color="000000" w:fill="FFFFFF"/>
                  <w:vAlign w:val="bottom"/>
                </w:tcPr>
                <w:p w:rsidR="00D2569B" w:rsidRPr="00B34608" w:rsidRDefault="00D2569B" w:rsidP="005D53CA">
                  <w:pPr>
                    <w:tabs>
                      <w:tab w:val="left" w:pos="0"/>
                    </w:tabs>
                    <w:jc w:val="both"/>
                    <w:rPr>
                      <w:i/>
                      <w:sz w:val="20"/>
                    </w:rPr>
                  </w:pPr>
                  <w:r>
                    <w:rPr>
                      <w:i/>
                      <w:sz w:val="20"/>
                    </w:rPr>
                    <w:t>Interest on deposits held with a bank</w:t>
                  </w:r>
                </w:p>
              </w:tc>
              <w:tc>
                <w:tcPr>
                  <w:tcW w:w="1418" w:type="dxa"/>
                  <w:tcBorders>
                    <w:top w:val="nil"/>
                    <w:left w:val="nil"/>
                    <w:bottom w:val="single" w:sz="4" w:space="0" w:color="auto"/>
                    <w:right w:val="single" w:sz="4" w:space="0" w:color="auto"/>
                  </w:tcBorders>
                  <w:shd w:val="clear" w:color="000000" w:fill="FFFFFF"/>
                  <w:vAlign w:val="bottom"/>
                </w:tcPr>
                <w:p w:rsidR="00D2569B" w:rsidRPr="00B34608" w:rsidRDefault="00D2569B" w:rsidP="00AB4E86">
                  <w:pPr>
                    <w:tabs>
                      <w:tab w:val="left" w:pos="0"/>
                    </w:tabs>
                    <w:jc w:val="right"/>
                    <w:rPr>
                      <w:i/>
                      <w:sz w:val="20"/>
                    </w:rPr>
                  </w:pP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AB4E86">
                  <w:pPr>
                    <w:tabs>
                      <w:tab w:val="left" w:pos="0"/>
                    </w:tabs>
                    <w:jc w:val="right"/>
                    <w:rPr>
                      <w:i/>
                      <w:sz w:val="20"/>
                    </w:rPr>
                  </w:pPr>
                </w:p>
              </w:tc>
            </w:tr>
            <w:tr w:rsidR="00D2569B" w:rsidRPr="00B34608" w:rsidTr="00BA5A6C">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5D53CA">
                  <w:pPr>
                    <w:tabs>
                      <w:tab w:val="left" w:pos="0"/>
                    </w:tabs>
                    <w:ind w:hanging="83"/>
                    <w:jc w:val="both"/>
                    <w:rPr>
                      <w:i/>
                      <w:sz w:val="20"/>
                    </w:rPr>
                  </w:pPr>
                  <w:r w:rsidRPr="00B34608">
                    <w:rPr>
                      <w:i/>
                      <w:sz w:val="20"/>
                    </w:rPr>
                    <w:t>1.3.3</w:t>
                  </w:r>
                </w:p>
              </w:tc>
              <w:tc>
                <w:tcPr>
                  <w:tcW w:w="5564" w:type="dxa"/>
                  <w:tcBorders>
                    <w:top w:val="nil"/>
                    <w:left w:val="nil"/>
                    <w:bottom w:val="single" w:sz="4" w:space="0" w:color="auto"/>
                    <w:right w:val="single" w:sz="4" w:space="0" w:color="auto"/>
                  </w:tcBorders>
                  <w:shd w:val="clear" w:color="000000" w:fill="FFFFFF"/>
                  <w:vAlign w:val="bottom"/>
                </w:tcPr>
                <w:p w:rsidR="00D2569B" w:rsidRPr="00B34608" w:rsidRDefault="00D2569B" w:rsidP="005D53CA">
                  <w:pPr>
                    <w:tabs>
                      <w:tab w:val="left" w:pos="0"/>
                    </w:tabs>
                    <w:jc w:val="both"/>
                    <w:rPr>
                      <w:i/>
                      <w:sz w:val="20"/>
                    </w:rPr>
                  </w:pPr>
                  <w:r>
                    <w:rPr>
                      <w:i/>
                      <w:sz w:val="20"/>
                    </w:rPr>
                    <w:t>Other interest income</w:t>
                  </w:r>
                </w:p>
              </w:tc>
              <w:tc>
                <w:tcPr>
                  <w:tcW w:w="1418" w:type="dxa"/>
                  <w:tcBorders>
                    <w:top w:val="nil"/>
                    <w:left w:val="nil"/>
                    <w:bottom w:val="single" w:sz="4" w:space="0" w:color="auto"/>
                    <w:right w:val="single" w:sz="4" w:space="0" w:color="auto"/>
                  </w:tcBorders>
                  <w:shd w:val="clear" w:color="000000" w:fill="FFFFFF"/>
                  <w:vAlign w:val="bottom"/>
                </w:tcPr>
                <w:p w:rsidR="00D2569B" w:rsidRPr="00B34608" w:rsidRDefault="00D2569B" w:rsidP="00AB4E86">
                  <w:pPr>
                    <w:tabs>
                      <w:tab w:val="left" w:pos="0"/>
                    </w:tabs>
                    <w:jc w:val="right"/>
                    <w:rPr>
                      <w:i/>
                      <w:sz w:val="20"/>
                    </w:rPr>
                  </w:pP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AB4E86">
                  <w:pPr>
                    <w:tabs>
                      <w:tab w:val="left" w:pos="0"/>
                    </w:tabs>
                    <w:jc w:val="right"/>
                    <w:rPr>
                      <w:i/>
                      <w:sz w:val="20"/>
                    </w:rPr>
                  </w:pPr>
                  <w:r w:rsidRPr="00B34608">
                    <w:rPr>
                      <w:i/>
                      <w:sz w:val="20"/>
                    </w:rPr>
                    <w:t>4</w:t>
                  </w:r>
                  <w:r>
                    <w:rPr>
                      <w:i/>
                      <w:sz w:val="20"/>
                    </w:rPr>
                    <w:t>,</w:t>
                  </w:r>
                  <w:r w:rsidRPr="00B34608">
                    <w:rPr>
                      <w:i/>
                      <w:sz w:val="20"/>
                    </w:rPr>
                    <w:t>681</w:t>
                  </w:r>
                </w:p>
              </w:tc>
            </w:tr>
            <w:tr w:rsidR="00D2569B" w:rsidRPr="00B34608" w:rsidTr="00BA5A6C">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5D53CA">
                  <w:pPr>
                    <w:tabs>
                      <w:tab w:val="left" w:pos="0"/>
                    </w:tabs>
                    <w:ind w:hanging="83"/>
                    <w:jc w:val="both"/>
                    <w:rPr>
                      <w:i/>
                      <w:sz w:val="20"/>
                    </w:rPr>
                  </w:pPr>
                  <w:r w:rsidRPr="00B34608">
                    <w:rPr>
                      <w:i/>
                      <w:sz w:val="20"/>
                    </w:rPr>
                    <w:t>1.3.4</w:t>
                  </w:r>
                </w:p>
              </w:tc>
              <w:tc>
                <w:tcPr>
                  <w:tcW w:w="5564" w:type="dxa"/>
                  <w:tcBorders>
                    <w:top w:val="nil"/>
                    <w:left w:val="nil"/>
                    <w:bottom w:val="single" w:sz="4" w:space="0" w:color="auto"/>
                    <w:right w:val="single" w:sz="4" w:space="0" w:color="auto"/>
                  </w:tcBorders>
                  <w:shd w:val="clear" w:color="000000" w:fill="FFFFFF"/>
                  <w:vAlign w:val="bottom"/>
                </w:tcPr>
                <w:p w:rsidR="00D2569B" w:rsidRPr="00B34608" w:rsidRDefault="00D2569B" w:rsidP="005D53CA">
                  <w:pPr>
                    <w:tabs>
                      <w:tab w:val="left" w:pos="0"/>
                    </w:tabs>
                    <w:jc w:val="both"/>
                    <w:rPr>
                      <w:i/>
                      <w:sz w:val="20"/>
                    </w:rPr>
                  </w:pPr>
                  <w:r>
                    <w:rPr>
                      <w:i/>
                      <w:sz w:val="20"/>
                    </w:rPr>
                    <w:t>Interest on securities</w:t>
                  </w:r>
                </w:p>
              </w:tc>
              <w:tc>
                <w:tcPr>
                  <w:tcW w:w="1418" w:type="dxa"/>
                  <w:tcBorders>
                    <w:top w:val="nil"/>
                    <w:left w:val="nil"/>
                    <w:bottom w:val="single" w:sz="4" w:space="0" w:color="auto"/>
                    <w:right w:val="single" w:sz="4" w:space="0" w:color="auto"/>
                  </w:tcBorders>
                  <w:shd w:val="clear" w:color="000000" w:fill="FFFFFF"/>
                  <w:vAlign w:val="bottom"/>
                </w:tcPr>
                <w:p w:rsidR="00D2569B" w:rsidRPr="00B34608" w:rsidRDefault="00D2569B" w:rsidP="00AB4E86">
                  <w:pPr>
                    <w:tabs>
                      <w:tab w:val="left" w:pos="0"/>
                    </w:tabs>
                    <w:jc w:val="right"/>
                    <w:rPr>
                      <w:i/>
                      <w:sz w:val="20"/>
                    </w:rPr>
                  </w:pP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AB4E86">
                  <w:pPr>
                    <w:tabs>
                      <w:tab w:val="left" w:pos="0"/>
                    </w:tabs>
                    <w:jc w:val="right"/>
                    <w:rPr>
                      <w:i/>
                      <w:sz w:val="20"/>
                    </w:rPr>
                  </w:pPr>
                  <w:r w:rsidRPr="00B34608">
                    <w:rPr>
                      <w:i/>
                      <w:sz w:val="20"/>
                    </w:rPr>
                    <w:t>38</w:t>
                  </w:r>
                </w:p>
              </w:tc>
            </w:tr>
            <w:tr w:rsidR="00D2569B" w:rsidRPr="00B34608" w:rsidTr="00BA5A6C">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5D53CA">
                  <w:pPr>
                    <w:tabs>
                      <w:tab w:val="left" w:pos="0"/>
                    </w:tabs>
                    <w:ind w:hanging="83"/>
                    <w:jc w:val="both"/>
                    <w:rPr>
                      <w:sz w:val="20"/>
                    </w:rPr>
                  </w:pPr>
                  <w:r w:rsidRPr="00B34608">
                    <w:rPr>
                      <w:sz w:val="20"/>
                    </w:rPr>
                    <w:t>1.5.</w:t>
                  </w:r>
                </w:p>
              </w:tc>
              <w:tc>
                <w:tcPr>
                  <w:tcW w:w="5564" w:type="dxa"/>
                  <w:tcBorders>
                    <w:top w:val="nil"/>
                    <w:left w:val="nil"/>
                    <w:bottom w:val="single" w:sz="4" w:space="0" w:color="auto"/>
                    <w:right w:val="single" w:sz="4" w:space="0" w:color="auto"/>
                  </w:tcBorders>
                  <w:shd w:val="clear" w:color="000000" w:fill="FFFFFF"/>
                  <w:vAlign w:val="bottom"/>
                </w:tcPr>
                <w:p w:rsidR="00D2569B" w:rsidRPr="00C456F4" w:rsidRDefault="00D2569B" w:rsidP="005D53CA">
                  <w:pPr>
                    <w:tabs>
                      <w:tab w:val="left" w:pos="0"/>
                    </w:tabs>
                    <w:jc w:val="both"/>
                    <w:rPr>
                      <w:sz w:val="20"/>
                    </w:rPr>
                  </w:pPr>
                  <w:r>
                    <w:rPr>
                      <w:bCs/>
                      <w:sz w:val="20"/>
                    </w:rPr>
                    <w:t>Other f</w:t>
                  </w:r>
                  <w:r w:rsidRPr="00C456F4">
                    <w:rPr>
                      <w:bCs/>
                      <w:sz w:val="20"/>
                    </w:rPr>
                    <w:t>inancing and investing activity income</w:t>
                  </w:r>
                </w:p>
              </w:tc>
              <w:tc>
                <w:tcPr>
                  <w:tcW w:w="1418" w:type="dxa"/>
                  <w:tcBorders>
                    <w:top w:val="nil"/>
                    <w:left w:val="nil"/>
                    <w:bottom w:val="single" w:sz="4" w:space="0" w:color="auto"/>
                    <w:right w:val="single" w:sz="4" w:space="0" w:color="auto"/>
                  </w:tcBorders>
                  <w:shd w:val="clear" w:color="000000" w:fill="FFFFFF"/>
                  <w:vAlign w:val="bottom"/>
                </w:tcPr>
                <w:p w:rsidR="00D2569B" w:rsidRPr="00B34608" w:rsidRDefault="00D2569B" w:rsidP="00AB4E86">
                  <w:pPr>
                    <w:tabs>
                      <w:tab w:val="left" w:pos="0"/>
                    </w:tabs>
                    <w:jc w:val="right"/>
                    <w:rPr>
                      <w:sz w:val="20"/>
                    </w:rPr>
                  </w:pPr>
                  <w:r w:rsidRPr="00B34608">
                    <w:rPr>
                      <w:sz w:val="20"/>
                    </w:rPr>
                    <w:t>1</w:t>
                  </w: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AB4E86">
                  <w:pPr>
                    <w:tabs>
                      <w:tab w:val="left" w:pos="0"/>
                    </w:tabs>
                    <w:jc w:val="right"/>
                    <w:rPr>
                      <w:sz w:val="20"/>
                    </w:rPr>
                  </w:pPr>
                </w:p>
              </w:tc>
            </w:tr>
            <w:tr w:rsidR="00D2569B" w:rsidRPr="00B34608" w:rsidTr="00BA5A6C">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5D53CA">
                  <w:pPr>
                    <w:tabs>
                      <w:tab w:val="left" w:pos="0"/>
                    </w:tabs>
                    <w:ind w:hanging="83"/>
                    <w:jc w:val="both"/>
                    <w:rPr>
                      <w:sz w:val="20"/>
                    </w:rPr>
                  </w:pPr>
                  <w:r w:rsidRPr="00B34608">
                    <w:rPr>
                      <w:sz w:val="20"/>
                    </w:rPr>
                    <w:t>1.6.</w:t>
                  </w:r>
                </w:p>
              </w:tc>
              <w:tc>
                <w:tcPr>
                  <w:tcW w:w="5564" w:type="dxa"/>
                  <w:tcBorders>
                    <w:top w:val="nil"/>
                    <w:left w:val="nil"/>
                    <w:bottom w:val="single" w:sz="4" w:space="0" w:color="auto"/>
                    <w:right w:val="single" w:sz="4" w:space="0" w:color="auto"/>
                  </w:tcBorders>
                  <w:shd w:val="clear" w:color="000000" w:fill="FFFFFF"/>
                  <w:vAlign w:val="bottom"/>
                </w:tcPr>
                <w:p w:rsidR="00D2569B" w:rsidRPr="00B34608" w:rsidRDefault="00D2569B" w:rsidP="005D53CA">
                  <w:pPr>
                    <w:tabs>
                      <w:tab w:val="left" w:pos="0"/>
                    </w:tabs>
                    <w:jc w:val="both"/>
                    <w:rPr>
                      <w:sz w:val="20"/>
                    </w:rPr>
                  </w:pPr>
                  <w:r>
                    <w:rPr>
                      <w:bCs/>
                      <w:sz w:val="20"/>
                    </w:rPr>
                    <w:t>Transferable f</w:t>
                  </w:r>
                  <w:r w:rsidRPr="00C456F4">
                    <w:rPr>
                      <w:bCs/>
                      <w:sz w:val="20"/>
                    </w:rPr>
                    <w:t>inancing and investing activity income</w:t>
                  </w:r>
                </w:p>
              </w:tc>
              <w:tc>
                <w:tcPr>
                  <w:tcW w:w="1418" w:type="dxa"/>
                  <w:tcBorders>
                    <w:top w:val="nil"/>
                    <w:left w:val="nil"/>
                    <w:bottom w:val="single" w:sz="4" w:space="0" w:color="auto"/>
                    <w:right w:val="single" w:sz="4" w:space="0" w:color="auto"/>
                  </w:tcBorders>
                  <w:shd w:val="clear" w:color="000000" w:fill="FFFFFF"/>
                  <w:vAlign w:val="bottom"/>
                </w:tcPr>
                <w:p w:rsidR="00D2569B" w:rsidRPr="00B34608" w:rsidRDefault="00D2569B" w:rsidP="00AB4E86">
                  <w:pPr>
                    <w:tabs>
                      <w:tab w:val="left" w:pos="0"/>
                    </w:tabs>
                    <w:jc w:val="right"/>
                    <w:rPr>
                      <w:sz w:val="20"/>
                    </w:rPr>
                  </w:pP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AB4E86">
                  <w:pPr>
                    <w:tabs>
                      <w:tab w:val="left" w:pos="0"/>
                    </w:tabs>
                    <w:jc w:val="right"/>
                    <w:rPr>
                      <w:sz w:val="20"/>
                    </w:rPr>
                  </w:pPr>
                </w:p>
              </w:tc>
            </w:tr>
            <w:tr w:rsidR="00D2569B" w:rsidRPr="00B34608" w:rsidTr="00BA5A6C">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5D53CA">
                  <w:pPr>
                    <w:tabs>
                      <w:tab w:val="left" w:pos="0"/>
                    </w:tabs>
                    <w:ind w:hanging="83"/>
                    <w:jc w:val="both"/>
                    <w:rPr>
                      <w:b/>
                      <w:bCs/>
                      <w:sz w:val="20"/>
                    </w:rPr>
                  </w:pPr>
                  <w:r w:rsidRPr="00B34608">
                    <w:rPr>
                      <w:b/>
                      <w:bCs/>
                      <w:sz w:val="20"/>
                    </w:rPr>
                    <w:t>2.</w:t>
                  </w:r>
                </w:p>
              </w:tc>
              <w:tc>
                <w:tcPr>
                  <w:tcW w:w="5564" w:type="dxa"/>
                  <w:tcBorders>
                    <w:top w:val="nil"/>
                    <w:left w:val="nil"/>
                    <w:bottom w:val="single" w:sz="4" w:space="0" w:color="auto"/>
                    <w:right w:val="single" w:sz="4" w:space="0" w:color="auto"/>
                  </w:tcBorders>
                  <w:shd w:val="clear" w:color="000000" w:fill="FFFFFF"/>
                  <w:vAlign w:val="bottom"/>
                </w:tcPr>
                <w:p w:rsidR="00D2569B" w:rsidRPr="00C456F4" w:rsidRDefault="00D2569B" w:rsidP="005D53CA">
                  <w:pPr>
                    <w:tabs>
                      <w:tab w:val="left" w:pos="0"/>
                    </w:tabs>
                    <w:jc w:val="both"/>
                    <w:rPr>
                      <w:b/>
                      <w:bCs/>
                      <w:sz w:val="20"/>
                    </w:rPr>
                  </w:pPr>
                  <w:r w:rsidRPr="00C456F4">
                    <w:rPr>
                      <w:b/>
                      <w:bCs/>
                      <w:sz w:val="20"/>
                    </w:rPr>
                    <w:t>Financing and investing activity expenses</w:t>
                  </w:r>
                </w:p>
              </w:tc>
              <w:tc>
                <w:tcPr>
                  <w:tcW w:w="1418" w:type="dxa"/>
                  <w:tcBorders>
                    <w:top w:val="nil"/>
                    <w:left w:val="nil"/>
                    <w:bottom w:val="single" w:sz="4" w:space="0" w:color="auto"/>
                    <w:right w:val="single" w:sz="4" w:space="0" w:color="auto"/>
                  </w:tcBorders>
                  <w:shd w:val="clear" w:color="000000" w:fill="FFFFFF"/>
                  <w:vAlign w:val="bottom"/>
                </w:tcPr>
                <w:p w:rsidR="00D2569B" w:rsidRPr="00B34608" w:rsidRDefault="00D2569B" w:rsidP="00AB4E86">
                  <w:pPr>
                    <w:tabs>
                      <w:tab w:val="left" w:pos="0"/>
                    </w:tabs>
                    <w:jc w:val="right"/>
                    <w:rPr>
                      <w:b/>
                      <w:bCs/>
                      <w:sz w:val="20"/>
                    </w:rPr>
                  </w:pPr>
                  <w:r w:rsidRPr="00B34608">
                    <w:rPr>
                      <w:b/>
                      <w:sz w:val="20"/>
                    </w:rPr>
                    <w:t>(837</w:t>
                  </w:r>
                  <w:r>
                    <w:rPr>
                      <w:b/>
                      <w:sz w:val="20"/>
                    </w:rPr>
                    <w:t>,</w:t>
                  </w:r>
                  <w:r w:rsidRPr="00B34608">
                    <w:rPr>
                      <w:b/>
                      <w:sz w:val="20"/>
                    </w:rPr>
                    <w:t>564)</w:t>
                  </w: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AB4E86">
                  <w:pPr>
                    <w:tabs>
                      <w:tab w:val="left" w:pos="0"/>
                    </w:tabs>
                    <w:jc w:val="right"/>
                    <w:rPr>
                      <w:b/>
                      <w:sz w:val="20"/>
                    </w:rPr>
                  </w:pPr>
                  <w:r w:rsidRPr="00B34608">
                    <w:rPr>
                      <w:b/>
                      <w:sz w:val="20"/>
                    </w:rPr>
                    <w:t>(2</w:t>
                  </w:r>
                  <w:r>
                    <w:rPr>
                      <w:b/>
                      <w:sz w:val="20"/>
                    </w:rPr>
                    <w:t>,</w:t>
                  </w:r>
                  <w:r w:rsidRPr="00B34608">
                    <w:rPr>
                      <w:b/>
                      <w:sz w:val="20"/>
                    </w:rPr>
                    <w:t>009</w:t>
                  </w:r>
                  <w:r>
                    <w:rPr>
                      <w:b/>
                      <w:sz w:val="20"/>
                    </w:rPr>
                    <w:t>,</w:t>
                  </w:r>
                  <w:r w:rsidRPr="00B34608">
                    <w:rPr>
                      <w:b/>
                      <w:sz w:val="20"/>
                    </w:rPr>
                    <w:t>309)</w:t>
                  </w:r>
                </w:p>
              </w:tc>
            </w:tr>
            <w:tr w:rsidR="00D2569B" w:rsidRPr="00B34608" w:rsidTr="00BA5A6C">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5D53CA">
                  <w:pPr>
                    <w:tabs>
                      <w:tab w:val="left" w:pos="0"/>
                    </w:tabs>
                    <w:ind w:hanging="83"/>
                    <w:jc w:val="both"/>
                    <w:rPr>
                      <w:sz w:val="20"/>
                    </w:rPr>
                  </w:pPr>
                  <w:r w:rsidRPr="00B34608">
                    <w:rPr>
                      <w:sz w:val="20"/>
                    </w:rPr>
                    <w:t>2.1.</w:t>
                  </w:r>
                </w:p>
              </w:tc>
              <w:tc>
                <w:tcPr>
                  <w:tcW w:w="5564" w:type="dxa"/>
                  <w:tcBorders>
                    <w:top w:val="nil"/>
                    <w:left w:val="nil"/>
                    <w:bottom w:val="single" w:sz="4" w:space="0" w:color="auto"/>
                    <w:right w:val="single" w:sz="4" w:space="0" w:color="auto"/>
                  </w:tcBorders>
                  <w:shd w:val="clear" w:color="000000" w:fill="FFFFFF"/>
                  <w:vAlign w:val="bottom"/>
                </w:tcPr>
                <w:p w:rsidR="00D2569B" w:rsidRPr="00B34608" w:rsidRDefault="00D2569B" w:rsidP="005D53CA">
                  <w:pPr>
                    <w:tabs>
                      <w:tab w:val="left" w:pos="0"/>
                    </w:tabs>
                    <w:jc w:val="both"/>
                    <w:rPr>
                      <w:sz w:val="20"/>
                    </w:rPr>
                  </w:pPr>
                  <w:r>
                    <w:rPr>
                      <w:sz w:val="20"/>
                    </w:rPr>
                    <w:t>Losses from exchange rate changes</w:t>
                  </w:r>
                </w:p>
              </w:tc>
              <w:tc>
                <w:tcPr>
                  <w:tcW w:w="1418" w:type="dxa"/>
                  <w:tcBorders>
                    <w:top w:val="nil"/>
                    <w:left w:val="nil"/>
                    <w:bottom w:val="single" w:sz="4" w:space="0" w:color="auto"/>
                    <w:right w:val="single" w:sz="4" w:space="0" w:color="auto"/>
                  </w:tcBorders>
                  <w:shd w:val="clear" w:color="000000" w:fill="FFFFFF"/>
                  <w:vAlign w:val="bottom"/>
                </w:tcPr>
                <w:p w:rsidR="00D2569B" w:rsidRPr="00B34608" w:rsidRDefault="00D2569B" w:rsidP="00AB4E86">
                  <w:pPr>
                    <w:tabs>
                      <w:tab w:val="left" w:pos="0"/>
                    </w:tabs>
                    <w:jc w:val="right"/>
                    <w:rPr>
                      <w:sz w:val="20"/>
                    </w:rPr>
                  </w:pP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AB4E86">
                  <w:pPr>
                    <w:tabs>
                      <w:tab w:val="left" w:pos="0"/>
                    </w:tabs>
                    <w:jc w:val="right"/>
                    <w:rPr>
                      <w:sz w:val="20"/>
                    </w:rPr>
                  </w:pPr>
                </w:p>
              </w:tc>
            </w:tr>
            <w:tr w:rsidR="00D2569B" w:rsidRPr="00B34608" w:rsidTr="00BA5A6C">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5D53CA">
                  <w:pPr>
                    <w:tabs>
                      <w:tab w:val="left" w:pos="0"/>
                    </w:tabs>
                    <w:ind w:hanging="83"/>
                    <w:jc w:val="both"/>
                    <w:rPr>
                      <w:sz w:val="20"/>
                    </w:rPr>
                  </w:pPr>
                  <w:r w:rsidRPr="00B34608">
                    <w:rPr>
                      <w:sz w:val="20"/>
                    </w:rPr>
                    <w:t>2.2.</w:t>
                  </w:r>
                </w:p>
              </w:tc>
              <w:tc>
                <w:tcPr>
                  <w:tcW w:w="5564" w:type="dxa"/>
                  <w:tcBorders>
                    <w:top w:val="nil"/>
                    <w:left w:val="nil"/>
                    <w:bottom w:val="single" w:sz="4" w:space="0" w:color="auto"/>
                    <w:right w:val="single" w:sz="4" w:space="0" w:color="auto"/>
                  </w:tcBorders>
                  <w:shd w:val="clear" w:color="000000" w:fill="FFFFFF"/>
                  <w:vAlign w:val="bottom"/>
                </w:tcPr>
                <w:p w:rsidR="00D2569B" w:rsidRPr="00B34608" w:rsidRDefault="00D2569B" w:rsidP="005D53CA">
                  <w:pPr>
                    <w:tabs>
                      <w:tab w:val="left" w:pos="0"/>
                    </w:tabs>
                    <w:jc w:val="both"/>
                    <w:rPr>
                      <w:sz w:val="20"/>
                    </w:rPr>
                  </w:pPr>
                  <w:r>
                    <w:rPr>
                      <w:sz w:val="20"/>
                    </w:rPr>
                    <w:t>Expenses on fines and penalties</w:t>
                  </w:r>
                </w:p>
              </w:tc>
              <w:tc>
                <w:tcPr>
                  <w:tcW w:w="1418" w:type="dxa"/>
                  <w:tcBorders>
                    <w:top w:val="nil"/>
                    <w:left w:val="nil"/>
                    <w:bottom w:val="single" w:sz="4" w:space="0" w:color="auto"/>
                    <w:right w:val="single" w:sz="4" w:space="0" w:color="auto"/>
                  </w:tcBorders>
                  <w:shd w:val="clear" w:color="000000" w:fill="FFFFFF"/>
                  <w:vAlign w:val="bottom"/>
                </w:tcPr>
                <w:p w:rsidR="00D2569B" w:rsidRPr="00B34608" w:rsidRDefault="00D2569B" w:rsidP="00AB4E86">
                  <w:pPr>
                    <w:tabs>
                      <w:tab w:val="left" w:pos="0"/>
                    </w:tabs>
                    <w:jc w:val="right"/>
                    <w:rPr>
                      <w:sz w:val="20"/>
                    </w:rPr>
                  </w:pP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AB4E86">
                  <w:pPr>
                    <w:tabs>
                      <w:tab w:val="left" w:pos="0"/>
                    </w:tabs>
                    <w:jc w:val="right"/>
                    <w:rPr>
                      <w:sz w:val="20"/>
                    </w:rPr>
                  </w:pPr>
                </w:p>
              </w:tc>
            </w:tr>
            <w:tr w:rsidR="00D2569B" w:rsidRPr="00B34608" w:rsidTr="00BA5A6C">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5D53CA">
                  <w:pPr>
                    <w:tabs>
                      <w:tab w:val="left" w:pos="0"/>
                    </w:tabs>
                    <w:ind w:hanging="83"/>
                    <w:jc w:val="both"/>
                    <w:rPr>
                      <w:sz w:val="20"/>
                    </w:rPr>
                  </w:pPr>
                  <w:r w:rsidRPr="00B34608">
                    <w:rPr>
                      <w:sz w:val="20"/>
                    </w:rPr>
                    <w:lastRenderedPageBreak/>
                    <w:t>2.3.</w:t>
                  </w:r>
                </w:p>
              </w:tc>
              <w:tc>
                <w:tcPr>
                  <w:tcW w:w="5564" w:type="dxa"/>
                  <w:tcBorders>
                    <w:top w:val="nil"/>
                    <w:left w:val="nil"/>
                    <w:bottom w:val="single" w:sz="4" w:space="0" w:color="auto"/>
                    <w:right w:val="single" w:sz="4" w:space="0" w:color="auto"/>
                  </w:tcBorders>
                  <w:shd w:val="clear" w:color="000000" w:fill="FFFFFF"/>
                  <w:vAlign w:val="bottom"/>
                </w:tcPr>
                <w:p w:rsidR="00D2569B" w:rsidRPr="00B34608" w:rsidRDefault="00D2569B" w:rsidP="005D53CA">
                  <w:pPr>
                    <w:tabs>
                      <w:tab w:val="left" w:pos="0"/>
                    </w:tabs>
                    <w:jc w:val="both"/>
                    <w:rPr>
                      <w:sz w:val="20"/>
                    </w:rPr>
                  </w:pPr>
                  <w:r>
                    <w:rPr>
                      <w:sz w:val="20"/>
                    </w:rPr>
                    <w:t>Interest expenses</w:t>
                  </w:r>
                  <w:r w:rsidRPr="00B34608">
                    <w:rPr>
                      <w:sz w:val="20"/>
                    </w:rPr>
                    <w:t xml:space="preserve"> </w:t>
                  </w:r>
                </w:p>
              </w:tc>
              <w:tc>
                <w:tcPr>
                  <w:tcW w:w="1418" w:type="dxa"/>
                  <w:tcBorders>
                    <w:top w:val="nil"/>
                    <w:left w:val="nil"/>
                    <w:bottom w:val="single" w:sz="4" w:space="0" w:color="auto"/>
                    <w:right w:val="single" w:sz="4" w:space="0" w:color="auto"/>
                  </w:tcBorders>
                  <w:shd w:val="clear" w:color="000000" w:fill="FFFFFF"/>
                  <w:vAlign w:val="bottom"/>
                </w:tcPr>
                <w:p w:rsidR="00D2569B" w:rsidRPr="00B34608" w:rsidRDefault="00D2569B" w:rsidP="00AB4E86">
                  <w:pPr>
                    <w:tabs>
                      <w:tab w:val="left" w:pos="0"/>
                    </w:tabs>
                    <w:jc w:val="right"/>
                    <w:rPr>
                      <w:sz w:val="20"/>
                    </w:rPr>
                  </w:pPr>
                  <w:r w:rsidRPr="00B34608">
                    <w:rPr>
                      <w:sz w:val="20"/>
                    </w:rPr>
                    <w:t>(837</w:t>
                  </w:r>
                  <w:r>
                    <w:rPr>
                      <w:sz w:val="20"/>
                    </w:rPr>
                    <w:t>,</w:t>
                  </w:r>
                  <w:r w:rsidRPr="00B34608">
                    <w:rPr>
                      <w:sz w:val="20"/>
                    </w:rPr>
                    <w:t>564)</w:t>
                  </w: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AB4E86">
                  <w:pPr>
                    <w:tabs>
                      <w:tab w:val="left" w:pos="0"/>
                    </w:tabs>
                    <w:jc w:val="right"/>
                    <w:rPr>
                      <w:sz w:val="20"/>
                    </w:rPr>
                  </w:pPr>
                  <w:r w:rsidRPr="00B34608">
                    <w:rPr>
                      <w:sz w:val="20"/>
                    </w:rPr>
                    <w:t>(2</w:t>
                  </w:r>
                  <w:r>
                    <w:rPr>
                      <w:sz w:val="20"/>
                    </w:rPr>
                    <w:t>,009,</w:t>
                  </w:r>
                  <w:r w:rsidRPr="00B34608">
                    <w:rPr>
                      <w:sz w:val="20"/>
                    </w:rPr>
                    <w:t>309)</w:t>
                  </w:r>
                </w:p>
              </w:tc>
            </w:tr>
            <w:tr w:rsidR="00D2569B" w:rsidRPr="00B34608" w:rsidTr="00BA5A6C">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5D53CA">
                  <w:pPr>
                    <w:tabs>
                      <w:tab w:val="left" w:pos="0"/>
                    </w:tabs>
                    <w:ind w:hanging="83"/>
                    <w:jc w:val="both"/>
                    <w:rPr>
                      <w:sz w:val="20"/>
                    </w:rPr>
                  </w:pPr>
                  <w:r w:rsidRPr="00B34608">
                    <w:rPr>
                      <w:sz w:val="20"/>
                    </w:rPr>
                    <w:t>2.4.</w:t>
                  </w:r>
                </w:p>
              </w:tc>
              <w:tc>
                <w:tcPr>
                  <w:tcW w:w="5564" w:type="dxa"/>
                  <w:tcBorders>
                    <w:top w:val="nil"/>
                    <w:left w:val="nil"/>
                    <w:bottom w:val="single" w:sz="4" w:space="0" w:color="auto"/>
                    <w:right w:val="single" w:sz="4" w:space="0" w:color="auto"/>
                  </w:tcBorders>
                  <w:shd w:val="clear" w:color="000000" w:fill="FFFFFF"/>
                  <w:vAlign w:val="bottom"/>
                </w:tcPr>
                <w:p w:rsidR="00D2569B" w:rsidRPr="00B34608" w:rsidRDefault="00D2569B" w:rsidP="005D53CA">
                  <w:pPr>
                    <w:tabs>
                      <w:tab w:val="left" w:pos="0"/>
                    </w:tabs>
                    <w:jc w:val="both"/>
                    <w:rPr>
                      <w:sz w:val="20"/>
                    </w:rPr>
                  </w:pPr>
                  <w:r>
                    <w:rPr>
                      <w:bCs/>
                      <w:sz w:val="20"/>
                    </w:rPr>
                    <w:t>Other f</w:t>
                  </w:r>
                  <w:r w:rsidRPr="00C456F4">
                    <w:rPr>
                      <w:bCs/>
                      <w:sz w:val="20"/>
                    </w:rPr>
                    <w:t xml:space="preserve">inancing and investing activity </w:t>
                  </w:r>
                  <w:r>
                    <w:rPr>
                      <w:bCs/>
                      <w:sz w:val="20"/>
                    </w:rPr>
                    <w:t>expenses</w:t>
                  </w:r>
                </w:p>
              </w:tc>
              <w:tc>
                <w:tcPr>
                  <w:tcW w:w="1418" w:type="dxa"/>
                  <w:tcBorders>
                    <w:top w:val="nil"/>
                    <w:left w:val="nil"/>
                    <w:bottom w:val="single" w:sz="4" w:space="0" w:color="auto"/>
                    <w:right w:val="single" w:sz="4" w:space="0" w:color="auto"/>
                  </w:tcBorders>
                  <w:shd w:val="clear" w:color="000000" w:fill="FFFFFF"/>
                  <w:vAlign w:val="bottom"/>
                </w:tcPr>
                <w:p w:rsidR="00D2569B" w:rsidRPr="00B34608" w:rsidRDefault="00D2569B" w:rsidP="00AB4E86">
                  <w:pPr>
                    <w:tabs>
                      <w:tab w:val="left" w:pos="0"/>
                    </w:tabs>
                    <w:jc w:val="right"/>
                    <w:rPr>
                      <w:sz w:val="20"/>
                    </w:rPr>
                  </w:pP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AB4E86">
                  <w:pPr>
                    <w:tabs>
                      <w:tab w:val="left" w:pos="0"/>
                    </w:tabs>
                    <w:jc w:val="right"/>
                    <w:rPr>
                      <w:sz w:val="20"/>
                    </w:rPr>
                  </w:pPr>
                </w:p>
              </w:tc>
            </w:tr>
            <w:tr w:rsidR="00D2569B" w:rsidRPr="00B34608" w:rsidTr="00BA5A6C">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bottom"/>
                </w:tcPr>
                <w:p w:rsidR="00D2569B" w:rsidRPr="00B34608" w:rsidRDefault="00D2569B" w:rsidP="005D53CA">
                  <w:pPr>
                    <w:tabs>
                      <w:tab w:val="left" w:pos="0"/>
                    </w:tabs>
                    <w:ind w:hanging="83"/>
                    <w:jc w:val="both"/>
                    <w:rPr>
                      <w:b/>
                      <w:bCs/>
                      <w:sz w:val="20"/>
                    </w:rPr>
                  </w:pPr>
                  <w:r w:rsidRPr="00B34608">
                    <w:rPr>
                      <w:b/>
                      <w:bCs/>
                      <w:sz w:val="20"/>
                    </w:rPr>
                    <w:t>3.</w:t>
                  </w:r>
                </w:p>
              </w:tc>
              <w:tc>
                <w:tcPr>
                  <w:tcW w:w="5564" w:type="dxa"/>
                  <w:tcBorders>
                    <w:top w:val="nil"/>
                    <w:left w:val="nil"/>
                    <w:bottom w:val="single" w:sz="4" w:space="0" w:color="auto"/>
                    <w:right w:val="single" w:sz="4" w:space="0" w:color="auto"/>
                  </w:tcBorders>
                  <w:shd w:val="clear" w:color="000000" w:fill="FFFFFF"/>
                  <w:vAlign w:val="bottom"/>
                </w:tcPr>
                <w:p w:rsidR="00D2569B" w:rsidRPr="00B34608" w:rsidRDefault="00D2569B" w:rsidP="005D53CA">
                  <w:pPr>
                    <w:tabs>
                      <w:tab w:val="left" w:pos="0"/>
                    </w:tabs>
                    <w:jc w:val="both"/>
                    <w:rPr>
                      <w:b/>
                      <w:bCs/>
                      <w:sz w:val="20"/>
                    </w:rPr>
                  </w:pPr>
                  <w:r w:rsidRPr="00B34608">
                    <w:rPr>
                      <w:b/>
                      <w:bCs/>
                      <w:sz w:val="20"/>
                    </w:rPr>
                    <w:t>Finan</w:t>
                  </w:r>
                  <w:r>
                    <w:rPr>
                      <w:b/>
                      <w:bCs/>
                      <w:sz w:val="20"/>
                    </w:rPr>
                    <w:t xml:space="preserve">cing and investing activity result </w:t>
                  </w:r>
                  <w:r w:rsidRPr="00B34608">
                    <w:rPr>
                      <w:b/>
                      <w:bCs/>
                      <w:sz w:val="20"/>
                    </w:rPr>
                    <w:t>(1 - 2)</w:t>
                  </w:r>
                </w:p>
              </w:tc>
              <w:tc>
                <w:tcPr>
                  <w:tcW w:w="1418" w:type="dxa"/>
                  <w:tcBorders>
                    <w:top w:val="nil"/>
                    <w:left w:val="nil"/>
                    <w:bottom w:val="single" w:sz="4" w:space="0" w:color="auto"/>
                    <w:right w:val="single" w:sz="4" w:space="0" w:color="auto"/>
                  </w:tcBorders>
                  <w:shd w:val="clear" w:color="000000" w:fill="FFFFFF"/>
                  <w:vAlign w:val="bottom"/>
                </w:tcPr>
                <w:p w:rsidR="00D2569B" w:rsidRPr="00B34608" w:rsidRDefault="00D2569B" w:rsidP="00AB4E86">
                  <w:pPr>
                    <w:tabs>
                      <w:tab w:val="left" w:pos="0"/>
                    </w:tabs>
                    <w:jc w:val="right"/>
                    <w:rPr>
                      <w:b/>
                      <w:bCs/>
                      <w:sz w:val="20"/>
                    </w:rPr>
                  </w:pPr>
                  <w:r w:rsidRPr="00B34608">
                    <w:rPr>
                      <w:b/>
                      <w:bCs/>
                      <w:sz w:val="20"/>
                    </w:rPr>
                    <w:t>(837</w:t>
                  </w:r>
                  <w:r>
                    <w:rPr>
                      <w:b/>
                      <w:bCs/>
                      <w:sz w:val="20"/>
                    </w:rPr>
                    <w:t>,</w:t>
                  </w:r>
                  <w:r w:rsidRPr="00B34608">
                    <w:rPr>
                      <w:b/>
                      <w:bCs/>
                      <w:sz w:val="20"/>
                    </w:rPr>
                    <w:t>026)</w:t>
                  </w:r>
                </w:p>
              </w:tc>
              <w:tc>
                <w:tcPr>
                  <w:tcW w:w="1559" w:type="dxa"/>
                  <w:tcBorders>
                    <w:top w:val="nil"/>
                    <w:left w:val="nil"/>
                    <w:bottom w:val="single" w:sz="4" w:space="0" w:color="auto"/>
                    <w:right w:val="single" w:sz="4" w:space="0" w:color="auto"/>
                  </w:tcBorders>
                  <w:shd w:val="clear" w:color="000000" w:fill="FFFFFF"/>
                </w:tcPr>
                <w:p w:rsidR="00D2569B" w:rsidRPr="00B34608" w:rsidRDefault="00D2569B" w:rsidP="00AB4E86">
                  <w:pPr>
                    <w:tabs>
                      <w:tab w:val="left" w:pos="0"/>
                    </w:tabs>
                    <w:jc w:val="right"/>
                    <w:rPr>
                      <w:b/>
                      <w:bCs/>
                      <w:sz w:val="20"/>
                    </w:rPr>
                  </w:pPr>
                  <w:r w:rsidRPr="00B34608">
                    <w:rPr>
                      <w:b/>
                      <w:bCs/>
                      <w:sz w:val="20"/>
                    </w:rPr>
                    <w:t>(2</w:t>
                  </w:r>
                  <w:r>
                    <w:rPr>
                      <w:b/>
                      <w:bCs/>
                      <w:sz w:val="20"/>
                    </w:rPr>
                    <w:t>,</w:t>
                  </w:r>
                  <w:r w:rsidRPr="00B34608">
                    <w:rPr>
                      <w:b/>
                      <w:bCs/>
                      <w:sz w:val="20"/>
                    </w:rPr>
                    <w:t>004</w:t>
                  </w:r>
                  <w:r>
                    <w:rPr>
                      <w:b/>
                      <w:bCs/>
                      <w:sz w:val="20"/>
                    </w:rPr>
                    <w:t>,</w:t>
                  </w:r>
                  <w:r w:rsidRPr="00B34608">
                    <w:rPr>
                      <w:b/>
                      <w:bCs/>
                      <w:sz w:val="20"/>
                    </w:rPr>
                    <w:t>053)</w:t>
                  </w:r>
                </w:p>
              </w:tc>
            </w:tr>
            <w:bookmarkEnd w:id="33"/>
            <w:bookmarkEnd w:id="34"/>
          </w:tbl>
          <w:p w:rsidR="00D2569B" w:rsidRPr="00B34608" w:rsidRDefault="00D2569B" w:rsidP="005D53CA">
            <w:pPr>
              <w:pStyle w:val="Antrat1"/>
              <w:tabs>
                <w:tab w:val="left" w:pos="0"/>
              </w:tabs>
              <w:spacing w:line="240" w:lineRule="auto"/>
              <w:ind w:hanging="250"/>
              <w:jc w:val="both"/>
              <w:rPr>
                <w:b w:val="0"/>
                <w:sz w:val="22"/>
                <w:szCs w:val="22"/>
              </w:rPr>
            </w:pPr>
          </w:p>
        </w:tc>
      </w:tr>
    </w:tbl>
    <w:p w:rsidR="00D2569B" w:rsidRPr="00B34608" w:rsidRDefault="00D2569B" w:rsidP="00D62DC6">
      <w:pPr>
        <w:pStyle w:val="prastasiniatinklio"/>
        <w:jc w:val="both"/>
        <w:rPr>
          <w:b/>
          <w:lang w:val="en-GB"/>
        </w:rPr>
      </w:pPr>
      <w:r w:rsidRPr="00B34608">
        <w:rPr>
          <w:b/>
          <w:lang w:val="en-GB"/>
        </w:rPr>
        <w:lastRenderedPageBreak/>
        <w:t xml:space="preserve"> </w:t>
      </w:r>
      <w:r>
        <w:rPr>
          <w:b/>
          <w:lang w:val="en-GB"/>
        </w:rPr>
        <w:t>Note</w:t>
      </w:r>
      <w:r w:rsidRPr="00B34608">
        <w:rPr>
          <w:b/>
          <w:lang w:val="en-GB"/>
        </w:rPr>
        <w:t xml:space="preserve"> 12. </w:t>
      </w:r>
      <w:r>
        <w:rPr>
          <w:b/>
          <w:lang w:val="en-GB"/>
        </w:rPr>
        <w:t>Other receipts</w:t>
      </w:r>
    </w:p>
    <w:p w:rsidR="00D2569B" w:rsidRPr="00B34608" w:rsidRDefault="00D2569B" w:rsidP="00D62DC6">
      <w:pPr>
        <w:pStyle w:val="prastasiniatinklio"/>
        <w:jc w:val="both"/>
        <w:rPr>
          <w:sz w:val="22"/>
          <w:szCs w:val="22"/>
          <w:lang w:val="en-GB"/>
        </w:rPr>
      </w:pPr>
      <w:r w:rsidRPr="00B34608">
        <w:rPr>
          <w:b/>
          <w:sz w:val="22"/>
          <w:szCs w:val="22"/>
          <w:lang w:val="en-GB"/>
        </w:rPr>
        <w:t xml:space="preserve">       </w:t>
      </w:r>
      <w:r w:rsidRPr="009966A3">
        <w:rPr>
          <w:sz w:val="22"/>
          <w:szCs w:val="22"/>
          <w:lang w:val="en-GB"/>
        </w:rPr>
        <w:t xml:space="preserve">Other </w:t>
      </w:r>
      <w:r>
        <w:rPr>
          <w:sz w:val="22"/>
          <w:szCs w:val="22"/>
          <w:lang w:val="en-GB"/>
        </w:rPr>
        <w:t xml:space="preserve">receipts total EUR </w:t>
      </w:r>
      <w:r w:rsidRPr="00B34608">
        <w:rPr>
          <w:sz w:val="22"/>
          <w:szCs w:val="22"/>
          <w:lang w:val="en-GB"/>
        </w:rPr>
        <w:t>70</w:t>
      </w:r>
      <w:r>
        <w:rPr>
          <w:sz w:val="22"/>
          <w:szCs w:val="22"/>
          <w:lang w:val="en-GB"/>
        </w:rPr>
        <w:t>,</w:t>
      </w:r>
      <w:r w:rsidRPr="00B34608">
        <w:rPr>
          <w:sz w:val="22"/>
          <w:szCs w:val="22"/>
          <w:lang w:val="en-GB"/>
        </w:rPr>
        <w:t>407</w:t>
      </w:r>
      <w:r>
        <w:rPr>
          <w:sz w:val="22"/>
          <w:szCs w:val="22"/>
          <w:lang w:val="en-GB"/>
        </w:rPr>
        <w:t>,</w:t>
      </w:r>
      <w:r w:rsidRPr="00B34608">
        <w:rPr>
          <w:sz w:val="22"/>
          <w:szCs w:val="22"/>
          <w:lang w:val="en-GB"/>
        </w:rPr>
        <w:t>656</w:t>
      </w:r>
      <w:r>
        <w:rPr>
          <w:sz w:val="22"/>
          <w:szCs w:val="22"/>
          <w:lang w:val="en-GB"/>
        </w:rPr>
        <w:t xml:space="preserve"> and comprise EUR</w:t>
      </w:r>
      <w:r w:rsidRPr="00B34608">
        <w:rPr>
          <w:sz w:val="22"/>
          <w:szCs w:val="22"/>
          <w:lang w:val="en-GB"/>
        </w:rPr>
        <w:t xml:space="preserve"> 48</w:t>
      </w:r>
      <w:r>
        <w:rPr>
          <w:sz w:val="22"/>
          <w:szCs w:val="22"/>
          <w:lang w:val="en-GB"/>
        </w:rPr>
        <w:t>,440,</w:t>
      </w:r>
      <w:r w:rsidRPr="00B34608">
        <w:rPr>
          <w:sz w:val="22"/>
          <w:szCs w:val="22"/>
          <w:lang w:val="en-GB"/>
        </w:rPr>
        <w:t xml:space="preserve">500 </w:t>
      </w:r>
      <w:r>
        <w:rPr>
          <w:sz w:val="22"/>
          <w:szCs w:val="22"/>
          <w:lang w:val="en-GB"/>
        </w:rPr>
        <w:t>received from bankruptcy proceedings</w:t>
      </w:r>
      <w:r w:rsidRPr="00B34608">
        <w:rPr>
          <w:sz w:val="22"/>
          <w:szCs w:val="22"/>
          <w:lang w:val="en-GB"/>
        </w:rPr>
        <w:t xml:space="preserve"> (</w:t>
      </w:r>
      <w:r>
        <w:rPr>
          <w:sz w:val="22"/>
          <w:szCs w:val="22"/>
          <w:lang w:val="en-GB"/>
        </w:rPr>
        <w:t xml:space="preserve">see Table </w:t>
      </w:r>
      <w:r w:rsidRPr="00B34608">
        <w:rPr>
          <w:sz w:val="22"/>
          <w:szCs w:val="22"/>
          <w:lang w:val="en-GB"/>
        </w:rPr>
        <w:t>10)</w:t>
      </w:r>
      <w:r>
        <w:rPr>
          <w:sz w:val="22"/>
          <w:szCs w:val="22"/>
          <w:lang w:val="en-GB"/>
        </w:rPr>
        <w:t>, insurance contributions in the amount of EUR</w:t>
      </w:r>
      <w:r w:rsidRPr="00B34608">
        <w:rPr>
          <w:sz w:val="22"/>
          <w:szCs w:val="22"/>
          <w:lang w:val="en-GB"/>
        </w:rPr>
        <w:t xml:space="preserve"> 21</w:t>
      </w:r>
      <w:r>
        <w:rPr>
          <w:sz w:val="22"/>
          <w:szCs w:val="22"/>
          <w:lang w:val="en-GB"/>
        </w:rPr>
        <w:t>,</w:t>
      </w:r>
      <w:r w:rsidRPr="00B34608">
        <w:rPr>
          <w:sz w:val="22"/>
          <w:szCs w:val="22"/>
          <w:lang w:val="en-GB"/>
        </w:rPr>
        <w:t>959</w:t>
      </w:r>
      <w:r>
        <w:rPr>
          <w:sz w:val="22"/>
          <w:szCs w:val="22"/>
          <w:lang w:val="en-GB"/>
        </w:rPr>
        <w:t>,</w:t>
      </w:r>
      <w:r w:rsidRPr="00B34608">
        <w:rPr>
          <w:sz w:val="22"/>
          <w:szCs w:val="22"/>
          <w:lang w:val="en-GB"/>
        </w:rPr>
        <w:t>468</w:t>
      </w:r>
      <w:r>
        <w:rPr>
          <w:sz w:val="22"/>
          <w:szCs w:val="22"/>
          <w:lang w:val="en-GB"/>
        </w:rPr>
        <w:t xml:space="preserve"> and other proceeds in the amount of EUR</w:t>
      </w:r>
      <w:r w:rsidRPr="00B34608">
        <w:rPr>
          <w:sz w:val="22"/>
          <w:szCs w:val="22"/>
          <w:lang w:val="en-GB"/>
        </w:rPr>
        <w:t xml:space="preserve"> 7</w:t>
      </w:r>
      <w:r>
        <w:rPr>
          <w:sz w:val="22"/>
          <w:szCs w:val="22"/>
          <w:lang w:val="en-GB"/>
        </w:rPr>
        <w:t>,</w:t>
      </w:r>
      <w:r w:rsidRPr="00B34608">
        <w:rPr>
          <w:sz w:val="22"/>
          <w:szCs w:val="22"/>
          <w:lang w:val="en-GB"/>
        </w:rPr>
        <w:t>688.</w:t>
      </w:r>
    </w:p>
    <w:p w:rsidR="00D2569B" w:rsidRPr="00B34608" w:rsidRDefault="00D2569B" w:rsidP="001634C9">
      <w:pPr>
        <w:ind w:hanging="250"/>
        <w:jc w:val="both"/>
        <w:rPr>
          <w:i/>
          <w:szCs w:val="22"/>
        </w:rPr>
      </w:pPr>
      <w:r w:rsidRPr="00B34608">
        <w:rPr>
          <w:i/>
          <w:szCs w:val="22"/>
        </w:rPr>
        <w:t xml:space="preserve">        </w:t>
      </w:r>
      <w:r>
        <w:rPr>
          <w:i/>
          <w:szCs w:val="22"/>
        </w:rPr>
        <w:t xml:space="preserve">Table </w:t>
      </w:r>
      <w:r w:rsidRPr="00B34608">
        <w:rPr>
          <w:i/>
          <w:szCs w:val="22"/>
        </w:rPr>
        <w:t xml:space="preserve">10. </w:t>
      </w:r>
      <w:r>
        <w:rPr>
          <w:i/>
          <w:szCs w:val="22"/>
        </w:rPr>
        <w:t>Funds received from</w:t>
      </w:r>
      <w:r w:rsidRPr="00B34608">
        <w:rPr>
          <w:i/>
          <w:szCs w:val="22"/>
        </w:rPr>
        <w:t xml:space="preserve"> administr</w:t>
      </w:r>
      <w:r>
        <w:rPr>
          <w:i/>
          <w:szCs w:val="22"/>
        </w:rPr>
        <w:t>ated bankruptcy proceedings in</w:t>
      </w:r>
      <w:r w:rsidRPr="00B34608">
        <w:rPr>
          <w:i/>
          <w:szCs w:val="22"/>
        </w:rPr>
        <w:t xml:space="preserve"> 2017</w:t>
      </w:r>
    </w:p>
    <w:tbl>
      <w:tblPr>
        <w:tblpPr w:leftFromText="180" w:rightFromText="180" w:vertAnchor="text" w:horzAnchor="margin" w:tblpX="69" w:tblpY="76"/>
        <w:tblOverlap w:val="neve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4454"/>
        <w:gridCol w:w="2105"/>
        <w:gridCol w:w="2096"/>
      </w:tblGrid>
      <w:tr w:rsidR="00D2569B" w:rsidRPr="00B34608" w:rsidTr="00350AAA">
        <w:trPr>
          <w:trHeight w:val="301"/>
        </w:trPr>
        <w:tc>
          <w:tcPr>
            <w:tcW w:w="721" w:type="dxa"/>
            <w:vAlign w:val="center"/>
          </w:tcPr>
          <w:p w:rsidR="00D2569B" w:rsidRPr="00B34608" w:rsidRDefault="00D2569B" w:rsidP="009966A3">
            <w:pPr>
              <w:tabs>
                <w:tab w:val="left" w:pos="0"/>
              </w:tabs>
              <w:jc w:val="center"/>
              <w:rPr>
                <w:b/>
                <w:bCs/>
                <w:sz w:val="20"/>
              </w:rPr>
            </w:pPr>
            <w:r>
              <w:rPr>
                <w:b/>
                <w:bCs/>
                <w:sz w:val="20"/>
              </w:rPr>
              <w:t>Seq. No</w:t>
            </w:r>
          </w:p>
        </w:tc>
        <w:tc>
          <w:tcPr>
            <w:tcW w:w="4566" w:type="dxa"/>
            <w:vAlign w:val="center"/>
          </w:tcPr>
          <w:p w:rsidR="00D2569B" w:rsidRPr="00B34608" w:rsidRDefault="00D2569B" w:rsidP="009966A3">
            <w:pPr>
              <w:tabs>
                <w:tab w:val="left" w:pos="0"/>
              </w:tabs>
              <w:jc w:val="center"/>
              <w:rPr>
                <w:b/>
                <w:bCs/>
                <w:sz w:val="20"/>
              </w:rPr>
            </w:pPr>
            <w:r>
              <w:rPr>
                <w:b/>
                <w:bCs/>
                <w:sz w:val="20"/>
              </w:rPr>
              <w:t>Name</w:t>
            </w:r>
          </w:p>
        </w:tc>
        <w:tc>
          <w:tcPr>
            <w:tcW w:w="2154" w:type="dxa"/>
            <w:vAlign w:val="center"/>
          </w:tcPr>
          <w:p w:rsidR="00D2569B" w:rsidRPr="00B34608" w:rsidRDefault="00D2569B" w:rsidP="009966A3">
            <w:pPr>
              <w:tabs>
                <w:tab w:val="left" w:pos="0"/>
              </w:tabs>
              <w:jc w:val="center"/>
              <w:rPr>
                <w:b/>
                <w:bCs/>
                <w:sz w:val="20"/>
              </w:rPr>
            </w:pPr>
            <w:r>
              <w:rPr>
                <w:b/>
                <w:bCs/>
                <w:sz w:val="20"/>
              </w:rPr>
              <w:t xml:space="preserve">31 12 </w:t>
            </w:r>
            <w:r w:rsidRPr="00B34608">
              <w:rPr>
                <w:b/>
                <w:bCs/>
                <w:sz w:val="20"/>
              </w:rPr>
              <w:t>2017</w:t>
            </w:r>
          </w:p>
        </w:tc>
        <w:tc>
          <w:tcPr>
            <w:tcW w:w="2145" w:type="dxa"/>
            <w:vAlign w:val="center"/>
          </w:tcPr>
          <w:p w:rsidR="00D2569B" w:rsidRPr="00B34608" w:rsidRDefault="00D2569B" w:rsidP="009966A3">
            <w:pPr>
              <w:tabs>
                <w:tab w:val="left" w:pos="0"/>
              </w:tabs>
              <w:jc w:val="center"/>
              <w:rPr>
                <w:b/>
                <w:bCs/>
                <w:sz w:val="20"/>
              </w:rPr>
            </w:pPr>
            <w:r>
              <w:rPr>
                <w:b/>
                <w:bCs/>
                <w:sz w:val="20"/>
              </w:rPr>
              <w:t xml:space="preserve">31 12 </w:t>
            </w:r>
            <w:r w:rsidRPr="00B34608">
              <w:rPr>
                <w:b/>
                <w:bCs/>
                <w:sz w:val="20"/>
              </w:rPr>
              <w:t>201</w:t>
            </w:r>
            <w:r>
              <w:rPr>
                <w:b/>
                <w:bCs/>
                <w:sz w:val="20"/>
              </w:rPr>
              <w:t>6</w:t>
            </w:r>
          </w:p>
        </w:tc>
      </w:tr>
      <w:tr w:rsidR="00D2569B" w:rsidRPr="00B34608" w:rsidTr="00350AAA">
        <w:trPr>
          <w:trHeight w:val="277"/>
        </w:trPr>
        <w:tc>
          <w:tcPr>
            <w:tcW w:w="721" w:type="dxa"/>
          </w:tcPr>
          <w:p w:rsidR="00D2569B" w:rsidRPr="00B34608" w:rsidRDefault="00D2569B" w:rsidP="00A5618B">
            <w:pPr>
              <w:tabs>
                <w:tab w:val="left" w:pos="0"/>
              </w:tabs>
              <w:jc w:val="center"/>
              <w:rPr>
                <w:sz w:val="20"/>
              </w:rPr>
            </w:pPr>
            <w:r w:rsidRPr="00B34608">
              <w:rPr>
                <w:sz w:val="20"/>
              </w:rPr>
              <w:t>1</w:t>
            </w:r>
          </w:p>
        </w:tc>
        <w:tc>
          <w:tcPr>
            <w:tcW w:w="4566" w:type="dxa"/>
            <w:vAlign w:val="center"/>
          </w:tcPr>
          <w:p w:rsidR="00D2569B" w:rsidRPr="00B34608" w:rsidRDefault="00D2569B" w:rsidP="00A5618B">
            <w:pPr>
              <w:tabs>
                <w:tab w:val="left" w:pos="0"/>
              </w:tabs>
              <w:jc w:val="center"/>
              <w:rPr>
                <w:sz w:val="20"/>
              </w:rPr>
            </w:pPr>
            <w:r w:rsidRPr="00B34608">
              <w:rPr>
                <w:sz w:val="20"/>
              </w:rPr>
              <w:t>2</w:t>
            </w:r>
          </w:p>
        </w:tc>
        <w:tc>
          <w:tcPr>
            <w:tcW w:w="2154" w:type="dxa"/>
          </w:tcPr>
          <w:p w:rsidR="00D2569B" w:rsidRPr="00B34608" w:rsidRDefault="00D2569B" w:rsidP="00A5618B">
            <w:pPr>
              <w:tabs>
                <w:tab w:val="left" w:pos="0"/>
              </w:tabs>
              <w:jc w:val="center"/>
              <w:rPr>
                <w:sz w:val="20"/>
              </w:rPr>
            </w:pPr>
            <w:r w:rsidRPr="00B34608">
              <w:rPr>
                <w:sz w:val="20"/>
              </w:rPr>
              <w:t>3</w:t>
            </w:r>
          </w:p>
        </w:tc>
        <w:tc>
          <w:tcPr>
            <w:tcW w:w="2145" w:type="dxa"/>
            <w:vAlign w:val="center"/>
          </w:tcPr>
          <w:p w:rsidR="00D2569B" w:rsidRPr="00B34608" w:rsidRDefault="00D2569B" w:rsidP="00A5618B">
            <w:pPr>
              <w:tabs>
                <w:tab w:val="left" w:pos="0"/>
              </w:tabs>
              <w:jc w:val="center"/>
              <w:rPr>
                <w:sz w:val="20"/>
              </w:rPr>
            </w:pPr>
            <w:r w:rsidRPr="00B34608">
              <w:rPr>
                <w:sz w:val="20"/>
              </w:rPr>
              <w:t>4</w:t>
            </w:r>
          </w:p>
        </w:tc>
      </w:tr>
      <w:tr w:rsidR="00D2569B" w:rsidRPr="00B34608" w:rsidTr="00350AAA">
        <w:trPr>
          <w:trHeight w:val="277"/>
        </w:trPr>
        <w:tc>
          <w:tcPr>
            <w:tcW w:w="721" w:type="dxa"/>
          </w:tcPr>
          <w:p w:rsidR="00D2569B" w:rsidRPr="00B34608" w:rsidRDefault="00D2569B" w:rsidP="00A5618B">
            <w:pPr>
              <w:tabs>
                <w:tab w:val="left" w:pos="0"/>
              </w:tabs>
              <w:jc w:val="both"/>
              <w:rPr>
                <w:sz w:val="20"/>
              </w:rPr>
            </w:pPr>
            <w:r w:rsidRPr="00B34608">
              <w:rPr>
                <w:sz w:val="20"/>
              </w:rPr>
              <w:t>1.</w:t>
            </w:r>
          </w:p>
        </w:tc>
        <w:tc>
          <w:tcPr>
            <w:tcW w:w="4566" w:type="dxa"/>
            <w:vAlign w:val="center"/>
          </w:tcPr>
          <w:p w:rsidR="00D2569B" w:rsidRPr="00B34608" w:rsidRDefault="00D2569B" w:rsidP="00A5618B">
            <w:pPr>
              <w:tabs>
                <w:tab w:val="left" w:pos="0"/>
              </w:tabs>
              <w:jc w:val="both"/>
              <w:rPr>
                <w:sz w:val="20"/>
              </w:rPr>
            </w:pPr>
            <w:r w:rsidRPr="00B34608">
              <w:rPr>
                <w:sz w:val="20"/>
              </w:rPr>
              <w:t>BAB Snoras</w:t>
            </w:r>
          </w:p>
        </w:tc>
        <w:tc>
          <w:tcPr>
            <w:tcW w:w="2154" w:type="dxa"/>
          </w:tcPr>
          <w:p w:rsidR="00D2569B" w:rsidRPr="00B34608" w:rsidRDefault="00D2569B" w:rsidP="00A5618B">
            <w:pPr>
              <w:tabs>
                <w:tab w:val="left" w:pos="0"/>
              </w:tabs>
              <w:jc w:val="right"/>
              <w:rPr>
                <w:sz w:val="20"/>
              </w:rPr>
            </w:pPr>
            <w:r>
              <w:rPr>
                <w:sz w:val="20"/>
              </w:rPr>
              <w:t>19,</w:t>
            </w:r>
            <w:r w:rsidRPr="00B34608">
              <w:rPr>
                <w:sz w:val="20"/>
              </w:rPr>
              <w:t>150</w:t>
            </w:r>
            <w:r>
              <w:rPr>
                <w:sz w:val="20"/>
              </w:rPr>
              <w:t>,</w:t>
            </w:r>
            <w:r w:rsidRPr="00B34608">
              <w:rPr>
                <w:sz w:val="20"/>
              </w:rPr>
              <w:t>000</w:t>
            </w:r>
          </w:p>
        </w:tc>
        <w:tc>
          <w:tcPr>
            <w:tcW w:w="2145" w:type="dxa"/>
            <w:vAlign w:val="center"/>
          </w:tcPr>
          <w:p w:rsidR="00D2569B" w:rsidRPr="00B34608" w:rsidRDefault="00D2569B" w:rsidP="00A5618B">
            <w:pPr>
              <w:tabs>
                <w:tab w:val="left" w:pos="0"/>
              </w:tabs>
              <w:jc w:val="right"/>
              <w:rPr>
                <w:sz w:val="20"/>
              </w:rPr>
            </w:pPr>
            <w:r w:rsidRPr="00B34608">
              <w:rPr>
                <w:sz w:val="20"/>
              </w:rPr>
              <w:t>40</w:t>
            </w:r>
            <w:r>
              <w:rPr>
                <w:sz w:val="20"/>
              </w:rPr>
              <w:t>,000,</w:t>
            </w:r>
            <w:r w:rsidRPr="00B34608">
              <w:rPr>
                <w:sz w:val="20"/>
              </w:rPr>
              <w:t>000</w:t>
            </w:r>
          </w:p>
        </w:tc>
      </w:tr>
      <w:tr w:rsidR="00D2569B" w:rsidRPr="00B34608" w:rsidTr="00350AAA">
        <w:trPr>
          <w:trHeight w:val="267"/>
        </w:trPr>
        <w:tc>
          <w:tcPr>
            <w:tcW w:w="721" w:type="dxa"/>
          </w:tcPr>
          <w:p w:rsidR="00D2569B" w:rsidRPr="00B34608" w:rsidRDefault="00D2569B" w:rsidP="00A5618B">
            <w:pPr>
              <w:tabs>
                <w:tab w:val="left" w:pos="0"/>
              </w:tabs>
              <w:jc w:val="both"/>
              <w:rPr>
                <w:sz w:val="20"/>
              </w:rPr>
            </w:pPr>
            <w:r w:rsidRPr="00B34608">
              <w:rPr>
                <w:sz w:val="20"/>
              </w:rPr>
              <w:t>2.</w:t>
            </w:r>
          </w:p>
        </w:tc>
        <w:tc>
          <w:tcPr>
            <w:tcW w:w="4566" w:type="dxa"/>
            <w:vAlign w:val="center"/>
          </w:tcPr>
          <w:p w:rsidR="00D2569B" w:rsidRPr="00B34608" w:rsidRDefault="00D2569B" w:rsidP="00A5618B">
            <w:pPr>
              <w:tabs>
                <w:tab w:val="left" w:pos="0"/>
              </w:tabs>
              <w:jc w:val="both"/>
              <w:rPr>
                <w:sz w:val="20"/>
              </w:rPr>
            </w:pPr>
            <w:r w:rsidRPr="00B34608">
              <w:rPr>
                <w:sz w:val="20"/>
              </w:rPr>
              <w:t xml:space="preserve">BAB </w:t>
            </w:r>
            <w:proofErr w:type="spellStart"/>
            <w:r w:rsidRPr="00B34608">
              <w:rPr>
                <w:sz w:val="20"/>
              </w:rPr>
              <w:t>Ūkio</w:t>
            </w:r>
            <w:proofErr w:type="spellEnd"/>
            <w:r w:rsidRPr="00B34608">
              <w:rPr>
                <w:sz w:val="20"/>
              </w:rPr>
              <w:t xml:space="preserve"> </w:t>
            </w:r>
            <w:proofErr w:type="spellStart"/>
            <w:r w:rsidRPr="00B34608">
              <w:rPr>
                <w:sz w:val="20"/>
              </w:rPr>
              <w:t>bankas</w:t>
            </w:r>
            <w:proofErr w:type="spellEnd"/>
          </w:p>
        </w:tc>
        <w:tc>
          <w:tcPr>
            <w:tcW w:w="2154" w:type="dxa"/>
          </w:tcPr>
          <w:p w:rsidR="00D2569B" w:rsidRPr="00B34608" w:rsidRDefault="00D2569B" w:rsidP="00A5618B">
            <w:pPr>
              <w:tabs>
                <w:tab w:val="left" w:pos="0"/>
              </w:tabs>
              <w:jc w:val="right"/>
              <w:rPr>
                <w:sz w:val="20"/>
              </w:rPr>
            </w:pPr>
            <w:r>
              <w:rPr>
                <w:sz w:val="20"/>
              </w:rPr>
              <w:t>6,350,</w:t>
            </w:r>
            <w:r w:rsidRPr="00B34608">
              <w:rPr>
                <w:sz w:val="20"/>
              </w:rPr>
              <w:t>000</w:t>
            </w:r>
          </w:p>
        </w:tc>
        <w:tc>
          <w:tcPr>
            <w:tcW w:w="2145" w:type="dxa"/>
            <w:vAlign w:val="center"/>
          </w:tcPr>
          <w:p w:rsidR="00D2569B" w:rsidRPr="00B34608" w:rsidRDefault="00D2569B" w:rsidP="00A5618B">
            <w:pPr>
              <w:tabs>
                <w:tab w:val="left" w:pos="0"/>
              </w:tabs>
              <w:jc w:val="right"/>
              <w:rPr>
                <w:sz w:val="20"/>
              </w:rPr>
            </w:pPr>
            <w:r>
              <w:rPr>
                <w:sz w:val="20"/>
              </w:rPr>
              <w:t>26.,100,</w:t>
            </w:r>
            <w:r w:rsidRPr="00B34608">
              <w:rPr>
                <w:sz w:val="20"/>
              </w:rPr>
              <w:t>000</w:t>
            </w:r>
          </w:p>
        </w:tc>
      </w:tr>
      <w:tr w:rsidR="00D2569B" w:rsidRPr="00B34608" w:rsidTr="00350AAA">
        <w:trPr>
          <w:trHeight w:val="285"/>
        </w:trPr>
        <w:tc>
          <w:tcPr>
            <w:tcW w:w="721" w:type="dxa"/>
          </w:tcPr>
          <w:p w:rsidR="00D2569B" w:rsidRPr="00B34608" w:rsidRDefault="00D2569B" w:rsidP="00A5618B">
            <w:pPr>
              <w:tabs>
                <w:tab w:val="left" w:pos="0"/>
              </w:tabs>
              <w:jc w:val="both"/>
              <w:rPr>
                <w:sz w:val="20"/>
              </w:rPr>
            </w:pPr>
            <w:r w:rsidRPr="00B34608">
              <w:rPr>
                <w:sz w:val="20"/>
              </w:rPr>
              <w:t>3.</w:t>
            </w:r>
          </w:p>
        </w:tc>
        <w:tc>
          <w:tcPr>
            <w:tcW w:w="4566" w:type="dxa"/>
            <w:vAlign w:val="center"/>
          </w:tcPr>
          <w:p w:rsidR="00D2569B" w:rsidRPr="00B34608" w:rsidRDefault="00D2569B" w:rsidP="00A5618B">
            <w:pPr>
              <w:tabs>
                <w:tab w:val="left" w:pos="0"/>
              </w:tabs>
              <w:jc w:val="both"/>
              <w:rPr>
                <w:sz w:val="20"/>
              </w:rPr>
            </w:pPr>
            <w:proofErr w:type="spellStart"/>
            <w:r w:rsidRPr="00B34608">
              <w:rPr>
                <w:sz w:val="20"/>
              </w:rPr>
              <w:t>Nacionalinė</w:t>
            </w:r>
            <w:proofErr w:type="spellEnd"/>
            <w:r w:rsidRPr="00B34608">
              <w:rPr>
                <w:sz w:val="20"/>
              </w:rPr>
              <w:t xml:space="preserve"> </w:t>
            </w:r>
            <w:r>
              <w:rPr>
                <w:sz w:val="20"/>
              </w:rPr>
              <w:t>BCC</w:t>
            </w:r>
          </w:p>
        </w:tc>
        <w:tc>
          <w:tcPr>
            <w:tcW w:w="2154" w:type="dxa"/>
          </w:tcPr>
          <w:p w:rsidR="00D2569B" w:rsidRPr="00B34608" w:rsidRDefault="00D2569B" w:rsidP="00A5618B">
            <w:pPr>
              <w:tabs>
                <w:tab w:val="left" w:pos="0"/>
              </w:tabs>
              <w:jc w:val="right"/>
              <w:rPr>
                <w:sz w:val="20"/>
              </w:rPr>
            </w:pPr>
            <w:r>
              <w:rPr>
                <w:sz w:val="20"/>
              </w:rPr>
              <w:t>2,</w:t>
            </w:r>
            <w:r w:rsidRPr="00B34608">
              <w:rPr>
                <w:sz w:val="20"/>
              </w:rPr>
              <w:t>500</w:t>
            </w:r>
            <w:r>
              <w:rPr>
                <w:sz w:val="20"/>
              </w:rPr>
              <w:t>,</w:t>
            </w:r>
            <w:r w:rsidRPr="00B34608">
              <w:rPr>
                <w:sz w:val="20"/>
              </w:rPr>
              <w:t>000</w:t>
            </w:r>
          </w:p>
        </w:tc>
        <w:tc>
          <w:tcPr>
            <w:tcW w:w="2145" w:type="dxa"/>
            <w:vAlign w:val="center"/>
          </w:tcPr>
          <w:p w:rsidR="00D2569B" w:rsidRPr="00B34608" w:rsidRDefault="00D2569B" w:rsidP="00A5618B">
            <w:pPr>
              <w:tabs>
                <w:tab w:val="left" w:pos="0"/>
              </w:tabs>
              <w:jc w:val="right"/>
              <w:rPr>
                <w:sz w:val="20"/>
              </w:rPr>
            </w:pPr>
            <w:r>
              <w:rPr>
                <w:sz w:val="20"/>
              </w:rPr>
              <w:t>3,</w:t>
            </w:r>
            <w:r w:rsidRPr="00B34608">
              <w:rPr>
                <w:sz w:val="20"/>
              </w:rPr>
              <w:t>900</w:t>
            </w:r>
            <w:r>
              <w:rPr>
                <w:sz w:val="20"/>
              </w:rPr>
              <w:t>,</w:t>
            </w:r>
            <w:r w:rsidRPr="00B34608">
              <w:rPr>
                <w:sz w:val="20"/>
              </w:rPr>
              <w:t>000</w:t>
            </w:r>
          </w:p>
        </w:tc>
      </w:tr>
      <w:tr w:rsidR="00D2569B" w:rsidRPr="00B34608" w:rsidTr="00350AAA">
        <w:trPr>
          <w:trHeight w:val="315"/>
        </w:trPr>
        <w:tc>
          <w:tcPr>
            <w:tcW w:w="721" w:type="dxa"/>
          </w:tcPr>
          <w:p w:rsidR="00D2569B" w:rsidRPr="00B34608" w:rsidRDefault="00D2569B" w:rsidP="00A5618B">
            <w:pPr>
              <w:tabs>
                <w:tab w:val="left" w:pos="0"/>
              </w:tabs>
              <w:jc w:val="both"/>
              <w:rPr>
                <w:sz w:val="20"/>
              </w:rPr>
            </w:pPr>
            <w:r w:rsidRPr="00B34608">
              <w:rPr>
                <w:sz w:val="20"/>
              </w:rPr>
              <w:t>4.</w:t>
            </w:r>
          </w:p>
        </w:tc>
        <w:tc>
          <w:tcPr>
            <w:tcW w:w="4566" w:type="dxa"/>
            <w:vAlign w:val="center"/>
          </w:tcPr>
          <w:p w:rsidR="00D2569B" w:rsidRPr="00B34608" w:rsidRDefault="00D2569B" w:rsidP="00A5618B">
            <w:pPr>
              <w:tabs>
                <w:tab w:val="left" w:pos="0"/>
              </w:tabs>
              <w:jc w:val="both"/>
              <w:rPr>
                <w:sz w:val="20"/>
              </w:rPr>
            </w:pPr>
            <w:r>
              <w:rPr>
                <w:sz w:val="20"/>
              </w:rPr>
              <w:t>BCC</w:t>
            </w:r>
            <w:r w:rsidRPr="00B34608">
              <w:rPr>
                <w:sz w:val="20"/>
              </w:rPr>
              <w:t xml:space="preserve"> </w:t>
            </w:r>
            <w:proofErr w:type="spellStart"/>
            <w:r w:rsidRPr="00B34608">
              <w:rPr>
                <w:sz w:val="20"/>
              </w:rPr>
              <w:t>Švyturio</w:t>
            </w:r>
            <w:proofErr w:type="spellEnd"/>
            <w:r w:rsidRPr="00B34608">
              <w:rPr>
                <w:sz w:val="20"/>
              </w:rPr>
              <w:t xml:space="preserve"> </w:t>
            </w:r>
            <w:proofErr w:type="spellStart"/>
            <w:r w:rsidRPr="00B34608">
              <w:rPr>
                <w:sz w:val="20"/>
              </w:rPr>
              <w:t>taupomoji</w:t>
            </w:r>
            <w:proofErr w:type="spellEnd"/>
            <w:r w:rsidRPr="00B34608">
              <w:rPr>
                <w:sz w:val="20"/>
              </w:rPr>
              <w:t xml:space="preserve"> </w:t>
            </w:r>
            <w:proofErr w:type="spellStart"/>
            <w:r w:rsidRPr="00B34608">
              <w:rPr>
                <w:sz w:val="20"/>
              </w:rPr>
              <w:t>kasa</w:t>
            </w:r>
            <w:proofErr w:type="spellEnd"/>
          </w:p>
        </w:tc>
        <w:tc>
          <w:tcPr>
            <w:tcW w:w="2154" w:type="dxa"/>
          </w:tcPr>
          <w:p w:rsidR="00D2569B" w:rsidRPr="00B34608" w:rsidRDefault="00D2569B" w:rsidP="00A5618B">
            <w:pPr>
              <w:tabs>
                <w:tab w:val="left" w:pos="0"/>
              </w:tabs>
              <w:jc w:val="right"/>
              <w:rPr>
                <w:sz w:val="20"/>
              </w:rPr>
            </w:pPr>
            <w:r>
              <w:rPr>
                <w:sz w:val="20"/>
              </w:rPr>
              <w:t>70,</w:t>
            </w:r>
            <w:r w:rsidRPr="00B34608">
              <w:rPr>
                <w:sz w:val="20"/>
              </w:rPr>
              <w:t>000</w:t>
            </w:r>
          </w:p>
        </w:tc>
        <w:tc>
          <w:tcPr>
            <w:tcW w:w="2145" w:type="dxa"/>
            <w:vAlign w:val="center"/>
          </w:tcPr>
          <w:p w:rsidR="00D2569B" w:rsidRPr="00B34608" w:rsidRDefault="00D2569B" w:rsidP="00A5618B">
            <w:pPr>
              <w:tabs>
                <w:tab w:val="left" w:pos="0"/>
              </w:tabs>
              <w:jc w:val="right"/>
              <w:rPr>
                <w:sz w:val="20"/>
              </w:rPr>
            </w:pPr>
            <w:r>
              <w:rPr>
                <w:sz w:val="20"/>
              </w:rPr>
              <w:t>500,</w:t>
            </w:r>
            <w:r w:rsidRPr="00B34608">
              <w:rPr>
                <w:sz w:val="20"/>
              </w:rPr>
              <w:t>000</w:t>
            </w:r>
          </w:p>
        </w:tc>
      </w:tr>
      <w:tr w:rsidR="00D2569B" w:rsidRPr="00B34608" w:rsidTr="00350AAA">
        <w:trPr>
          <w:trHeight w:val="315"/>
        </w:trPr>
        <w:tc>
          <w:tcPr>
            <w:tcW w:w="721" w:type="dxa"/>
          </w:tcPr>
          <w:p w:rsidR="00D2569B" w:rsidRPr="00B34608" w:rsidRDefault="00D2569B" w:rsidP="00A5618B">
            <w:pPr>
              <w:tabs>
                <w:tab w:val="left" w:pos="0"/>
              </w:tabs>
              <w:jc w:val="both"/>
              <w:rPr>
                <w:sz w:val="20"/>
              </w:rPr>
            </w:pPr>
            <w:r w:rsidRPr="00B34608">
              <w:rPr>
                <w:sz w:val="20"/>
              </w:rPr>
              <w:t>5.</w:t>
            </w:r>
          </w:p>
        </w:tc>
        <w:tc>
          <w:tcPr>
            <w:tcW w:w="4566" w:type="dxa"/>
            <w:vAlign w:val="center"/>
          </w:tcPr>
          <w:p w:rsidR="00D2569B" w:rsidRPr="00B34608" w:rsidRDefault="00D2569B" w:rsidP="00A5618B">
            <w:pPr>
              <w:tabs>
                <w:tab w:val="left" w:pos="0"/>
              </w:tabs>
              <w:jc w:val="both"/>
              <w:rPr>
                <w:sz w:val="20"/>
              </w:rPr>
            </w:pPr>
            <w:r>
              <w:rPr>
                <w:sz w:val="20"/>
              </w:rPr>
              <w:t>BCC</w:t>
            </w:r>
            <w:r w:rsidRPr="00B34608">
              <w:rPr>
                <w:sz w:val="20"/>
              </w:rPr>
              <w:t xml:space="preserve"> </w:t>
            </w:r>
            <w:proofErr w:type="spellStart"/>
            <w:r w:rsidRPr="00B34608">
              <w:rPr>
                <w:sz w:val="20"/>
              </w:rPr>
              <w:t>Laikinosios</w:t>
            </w:r>
            <w:proofErr w:type="spellEnd"/>
            <w:r w:rsidRPr="00B34608">
              <w:rPr>
                <w:sz w:val="20"/>
              </w:rPr>
              <w:t xml:space="preserve"> </w:t>
            </w:r>
            <w:proofErr w:type="spellStart"/>
            <w:r w:rsidRPr="00B34608">
              <w:rPr>
                <w:sz w:val="20"/>
              </w:rPr>
              <w:t>sostinės</w:t>
            </w:r>
            <w:proofErr w:type="spellEnd"/>
            <w:r w:rsidRPr="00B34608">
              <w:rPr>
                <w:sz w:val="20"/>
              </w:rPr>
              <w:t xml:space="preserve"> </w:t>
            </w:r>
            <w:proofErr w:type="spellStart"/>
            <w:r w:rsidRPr="00B34608">
              <w:rPr>
                <w:sz w:val="20"/>
              </w:rPr>
              <w:t>kreditas</w:t>
            </w:r>
            <w:proofErr w:type="spellEnd"/>
          </w:p>
        </w:tc>
        <w:tc>
          <w:tcPr>
            <w:tcW w:w="2154" w:type="dxa"/>
          </w:tcPr>
          <w:p w:rsidR="00D2569B" w:rsidRPr="00B34608" w:rsidRDefault="00D2569B" w:rsidP="00A5618B">
            <w:pPr>
              <w:tabs>
                <w:tab w:val="left" w:pos="0"/>
              </w:tabs>
              <w:jc w:val="right"/>
              <w:rPr>
                <w:sz w:val="20"/>
              </w:rPr>
            </w:pPr>
            <w:r w:rsidRPr="00B34608">
              <w:rPr>
                <w:sz w:val="20"/>
              </w:rPr>
              <w:t>0</w:t>
            </w:r>
          </w:p>
        </w:tc>
        <w:tc>
          <w:tcPr>
            <w:tcW w:w="2145" w:type="dxa"/>
            <w:vAlign w:val="center"/>
          </w:tcPr>
          <w:p w:rsidR="00D2569B" w:rsidRPr="00B34608" w:rsidRDefault="00D2569B" w:rsidP="00A5618B">
            <w:pPr>
              <w:tabs>
                <w:tab w:val="left" w:pos="0"/>
              </w:tabs>
              <w:jc w:val="right"/>
              <w:rPr>
                <w:sz w:val="20"/>
              </w:rPr>
            </w:pPr>
            <w:r>
              <w:rPr>
                <w:sz w:val="20"/>
              </w:rPr>
              <w:t>430,</w:t>
            </w:r>
            <w:r w:rsidRPr="00B34608">
              <w:rPr>
                <w:sz w:val="20"/>
              </w:rPr>
              <w:t>000</w:t>
            </w:r>
          </w:p>
        </w:tc>
      </w:tr>
      <w:tr w:rsidR="00D2569B" w:rsidRPr="00B34608" w:rsidTr="00350AAA">
        <w:trPr>
          <w:trHeight w:val="315"/>
        </w:trPr>
        <w:tc>
          <w:tcPr>
            <w:tcW w:w="721" w:type="dxa"/>
          </w:tcPr>
          <w:p w:rsidR="00D2569B" w:rsidRPr="00B34608" w:rsidRDefault="00D2569B" w:rsidP="00A5618B">
            <w:pPr>
              <w:tabs>
                <w:tab w:val="left" w:pos="0"/>
              </w:tabs>
              <w:jc w:val="both"/>
              <w:rPr>
                <w:sz w:val="20"/>
              </w:rPr>
            </w:pPr>
            <w:r w:rsidRPr="00B34608">
              <w:rPr>
                <w:sz w:val="20"/>
              </w:rPr>
              <w:t>6.</w:t>
            </w:r>
          </w:p>
        </w:tc>
        <w:tc>
          <w:tcPr>
            <w:tcW w:w="4566" w:type="dxa"/>
            <w:vAlign w:val="center"/>
          </w:tcPr>
          <w:p w:rsidR="00D2569B" w:rsidRPr="00B34608" w:rsidRDefault="00D2569B" w:rsidP="00A5618B">
            <w:pPr>
              <w:tabs>
                <w:tab w:val="left" w:pos="0"/>
              </w:tabs>
              <w:jc w:val="both"/>
              <w:rPr>
                <w:sz w:val="20"/>
              </w:rPr>
            </w:pPr>
            <w:r>
              <w:rPr>
                <w:sz w:val="20"/>
              </w:rPr>
              <w:t>BCC</w:t>
            </w:r>
            <w:r w:rsidRPr="00B34608">
              <w:rPr>
                <w:sz w:val="20"/>
              </w:rPr>
              <w:t xml:space="preserve"> </w:t>
            </w:r>
            <w:proofErr w:type="spellStart"/>
            <w:r w:rsidRPr="00B34608">
              <w:rPr>
                <w:sz w:val="20"/>
              </w:rPr>
              <w:t>Naftininkų</w:t>
            </w:r>
            <w:proofErr w:type="spellEnd"/>
            <w:r w:rsidRPr="00B34608">
              <w:rPr>
                <w:sz w:val="20"/>
              </w:rPr>
              <w:t xml:space="preserve"> </w:t>
            </w:r>
            <w:proofErr w:type="spellStart"/>
            <w:r w:rsidRPr="00B34608">
              <w:rPr>
                <w:sz w:val="20"/>
              </w:rPr>
              <w:t>investicijos</w:t>
            </w:r>
            <w:proofErr w:type="spellEnd"/>
          </w:p>
        </w:tc>
        <w:tc>
          <w:tcPr>
            <w:tcW w:w="2154" w:type="dxa"/>
          </w:tcPr>
          <w:p w:rsidR="00D2569B" w:rsidRPr="00B34608" w:rsidRDefault="00D2569B" w:rsidP="00A5618B">
            <w:pPr>
              <w:tabs>
                <w:tab w:val="left" w:pos="0"/>
              </w:tabs>
              <w:jc w:val="right"/>
              <w:rPr>
                <w:sz w:val="20"/>
              </w:rPr>
            </w:pPr>
            <w:r>
              <w:rPr>
                <w:sz w:val="20"/>
              </w:rPr>
              <w:t>365,</w:t>
            </w:r>
            <w:r w:rsidRPr="00B34608">
              <w:rPr>
                <w:sz w:val="20"/>
              </w:rPr>
              <w:t>500</w:t>
            </w:r>
          </w:p>
        </w:tc>
        <w:tc>
          <w:tcPr>
            <w:tcW w:w="2145" w:type="dxa"/>
            <w:vAlign w:val="center"/>
          </w:tcPr>
          <w:p w:rsidR="00D2569B" w:rsidRPr="00B34608" w:rsidRDefault="00D2569B" w:rsidP="00A5618B">
            <w:pPr>
              <w:tabs>
                <w:tab w:val="left" w:pos="0"/>
              </w:tabs>
              <w:jc w:val="right"/>
              <w:rPr>
                <w:sz w:val="20"/>
              </w:rPr>
            </w:pPr>
            <w:r>
              <w:rPr>
                <w:sz w:val="20"/>
              </w:rPr>
              <w:t>102,</w:t>
            </w:r>
            <w:r w:rsidRPr="00B34608">
              <w:rPr>
                <w:sz w:val="20"/>
              </w:rPr>
              <w:t>000</w:t>
            </w:r>
          </w:p>
        </w:tc>
      </w:tr>
      <w:tr w:rsidR="00D2569B" w:rsidRPr="00B34608" w:rsidTr="00350AAA">
        <w:trPr>
          <w:trHeight w:val="315"/>
        </w:trPr>
        <w:tc>
          <w:tcPr>
            <w:tcW w:w="721" w:type="dxa"/>
          </w:tcPr>
          <w:p w:rsidR="00D2569B" w:rsidRPr="00B34608" w:rsidRDefault="00D2569B" w:rsidP="00A5618B">
            <w:pPr>
              <w:tabs>
                <w:tab w:val="left" w:pos="0"/>
              </w:tabs>
              <w:jc w:val="both"/>
              <w:rPr>
                <w:sz w:val="20"/>
              </w:rPr>
            </w:pPr>
            <w:r w:rsidRPr="00B34608">
              <w:rPr>
                <w:sz w:val="20"/>
              </w:rPr>
              <w:t>7.</w:t>
            </w:r>
          </w:p>
        </w:tc>
        <w:tc>
          <w:tcPr>
            <w:tcW w:w="4566" w:type="dxa"/>
            <w:vAlign w:val="center"/>
          </w:tcPr>
          <w:p w:rsidR="00D2569B" w:rsidRPr="00B34608" w:rsidRDefault="00D2569B" w:rsidP="00A5618B">
            <w:pPr>
              <w:tabs>
                <w:tab w:val="left" w:pos="0"/>
              </w:tabs>
              <w:jc w:val="both"/>
              <w:rPr>
                <w:sz w:val="20"/>
              </w:rPr>
            </w:pPr>
            <w:r>
              <w:rPr>
                <w:sz w:val="20"/>
              </w:rPr>
              <w:t>BCC</w:t>
            </w:r>
            <w:r w:rsidRPr="00B34608">
              <w:rPr>
                <w:sz w:val="20"/>
              </w:rPr>
              <w:t xml:space="preserve"> Vilniaus </w:t>
            </w:r>
            <w:proofErr w:type="spellStart"/>
            <w:r w:rsidRPr="00B34608">
              <w:rPr>
                <w:sz w:val="20"/>
              </w:rPr>
              <w:t>taupomoji</w:t>
            </w:r>
            <w:proofErr w:type="spellEnd"/>
            <w:r w:rsidRPr="00B34608">
              <w:rPr>
                <w:sz w:val="20"/>
              </w:rPr>
              <w:t xml:space="preserve"> </w:t>
            </w:r>
            <w:proofErr w:type="spellStart"/>
            <w:r w:rsidRPr="00B34608">
              <w:rPr>
                <w:sz w:val="20"/>
              </w:rPr>
              <w:t>kasa</w:t>
            </w:r>
            <w:proofErr w:type="spellEnd"/>
          </w:p>
        </w:tc>
        <w:tc>
          <w:tcPr>
            <w:tcW w:w="2154" w:type="dxa"/>
          </w:tcPr>
          <w:p w:rsidR="00D2569B" w:rsidRPr="00B34608" w:rsidRDefault="00D2569B" w:rsidP="00A5618B">
            <w:pPr>
              <w:tabs>
                <w:tab w:val="left" w:pos="0"/>
              </w:tabs>
              <w:jc w:val="right"/>
              <w:rPr>
                <w:sz w:val="20"/>
              </w:rPr>
            </w:pPr>
            <w:r>
              <w:rPr>
                <w:sz w:val="20"/>
              </w:rPr>
              <w:t>9,450,</w:t>
            </w:r>
            <w:r w:rsidRPr="00B34608">
              <w:rPr>
                <w:sz w:val="20"/>
              </w:rPr>
              <w:t>000</w:t>
            </w:r>
          </w:p>
        </w:tc>
        <w:tc>
          <w:tcPr>
            <w:tcW w:w="2145" w:type="dxa"/>
            <w:vAlign w:val="center"/>
          </w:tcPr>
          <w:p w:rsidR="00D2569B" w:rsidRPr="00B34608" w:rsidRDefault="00D2569B" w:rsidP="00A5618B">
            <w:pPr>
              <w:tabs>
                <w:tab w:val="left" w:pos="0"/>
              </w:tabs>
              <w:jc w:val="right"/>
              <w:rPr>
                <w:sz w:val="20"/>
              </w:rPr>
            </w:pPr>
            <w:r>
              <w:rPr>
                <w:sz w:val="20"/>
              </w:rPr>
              <w:t>8,200,</w:t>
            </w:r>
            <w:r w:rsidRPr="00B34608">
              <w:rPr>
                <w:sz w:val="20"/>
              </w:rPr>
              <w:t>000</w:t>
            </w:r>
          </w:p>
        </w:tc>
      </w:tr>
      <w:tr w:rsidR="00D2569B" w:rsidRPr="00B34608" w:rsidTr="00350AAA">
        <w:trPr>
          <w:trHeight w:val="315"/>
        </w:trPr>
        <w:tc>
          <w:tcPr>
            <w:tcW w:w="721" w:type="dxa"/>
          </w:tcPr>
          <w:p w:rsidR="00D2569B" w:rsidRPr="00B34608" w:rsidRDefault="00D2569B" w:rsidP="00A5618B">
            <w:pPr>
              <w:tabs>
                <w:tab w:val="left" w:pos="0"/>
              </w:tabs>
              <w:jc w:val="both"/>
              <w:rPr>
                <w:sz w:val="20"/>
              </w:rPr>
            </w:pPr>
            <w:r w:rsidRPr="00B34608">
              <w:rPr>
                <w:sz w:val="20"/>
              </w:rPr>
              <w:t>8.</w:t>
            </w:r>
          </w:p>
        </w:tc>
        <w:tc>
          <w:tcPr>
            <w:tcW w:w="4566" w:type="dxa"/>
            <w:vAlign w:val="center"/>
          </w:tcPr>
          <w:p w:rsidR="00D2569B" w:rsidRPr="00B34608" w:rsidRDefault="00D2569B" w:rsidP="00A5618B">
            <w:pPr>
              <w:tabs>
                <w:tab w:val="left" w:pos="0"/>
              </w:tabs>
              <w:jc w:val="both"/>
              <w:rPr>
                <w:sz w:val="20"/>
              </w:rPr>
            </w:pPr>
            <w:r>
              <w:rPr>
                <w:sz w:val="20"/>
              </w:rPr>
              <w:t>BCC</w:t>
            </w:r>
            <w:r w:rsidRPr="00B34608">
              <w:rPr>
                <w:sz w:val="20"/>
              </w:rPr>
              <w:t xml:space="preserve"> Amber</w:t>
            </w:r>
          </w:p>
        </w:tc>
        <w:tc>
          <w:tcPr>
            <w:tcW w:w="2154" w:type="dxa"/>
          </w:tcPr>
          <w:p w:rsidR="00D2569B" w:rsidRPr="00B34608" w:rsidRDefault="00D2569B" w:rsidP="00A5618B">
            <w:pPr>
              <w:tabs>
                <w:tab w:val="left" w:pos="0"/>
              </w:tabs>
              <w:jc w:val="right"/>
              <w:rPr>
                <w:sz w:val="20"/>
              </w:rPr>
            </w:pPr>
            <w:r>
              <w:rPr>
                <w:sz w:val="20"/>
              </w:rPr>
              <w:t>10,</w:t>
            </w:r>
            <w:r w:rsidRPr="00B34608">
              <w:rPr>
                <w:sz w:val="20"/>
              </w:rPr>
              <w:t>000</w:t>
            </w:r>
            <w:r>
              <w:rPr>
                <w:sz w:val="20"/>
              </w:rPr>
              <w:t>,</w:t>
            </w:r>
            <w:r w:rsidRPr="00B34608">
              <w:rPr>
                <w:sz w:val="20"/>
              </w:rPr>
              <w:t>000</w:t>
            </w:r>
          </w:p>
        </w:tc>
        <w:tc>
          <w:tcPr>
            <w:tcW w:w="2145" w:type="dxa"/>
            <w:vAlign w:val="center"/>
          </w:tcPr>
          <w:p w:rsidR="00D2569B" w:rsidRPr="00B34608" w:rsidRDefault="00D2569B" w:rsidP="00A5618B">
            <w:pPr>
              <w:tabs>
                <w:tab w:val="left" w:pos="0"/>
              </w:tabs>
              <w:jc w:val="right"/>
              <w:rPr>
                <w:sz w:val="20"/>
              </w:rPr>
            </w:pPr>
          </w:p>
        </w:tc>
      </w:tr>
      <w:tr w:rsidR="00D2569B" w:rsidRPr="00B34608" w:rsidTr="00350AAA">
        <w:trPr>
          <w:trHeight w:val="315"/>
        </w:trPr>
        <w:tc>
          <w:tcPr>
            <w:tcW w:w="721" w:type="dxa"/>
          </w:tcPr>
          <w:p w:rsidR="00D2569B" w:rsidRPr="00B34608" w:rsidRDefault="00D2569B" w:rsidP="00A5618B">
            <w:pPr>
              <w:tabs>
                <w:tab w:val="left" w:pos="0"/>
              </w:tabs>
              <w:jc w:val="both"/>
              <w:rPr>
                <w:sz w:val="20"/>
              </w:rPr>
            </w:pPr>
            <w:r w:rsidRPr="00B34608">
              <w:rPr>
                <w:sz w:val="20"/>
              </w:rPr>
              <w:t>9.</w:t>
            </w:r>
          </w:p>
        </w:tc>
        <w:tc>
          <w:tcPr>
            <w:tcW w:w="4566" w:type="dxa"/>
            <w:vAlign w:val="center"/>
          </w:tcPr>
          <w:p w:rsidR="00D2569B" w:rsidRPr="00B34608" w:rsidRDefault="00D2569B" w:rsidP="00A5618B">
            <w:pPr>
              <w:tabs>
                <w:tab w:val="left" w:pos="0"/>
              </w:tabs>
              <w:jc w:val="both"/>
              <w:rPr>
                <w:sz w:val="20"/>
              </w:rPr>
            </w:pPr>
            <w:r>
              <w:rPr>
                <w:sz w:val="20"/>
              </w:rPr>
              <w:t>BCC</w:t>
            </w:r>
            <w:r w:rsidRPr="00B34608">
              <w:rPr>
                <w:sz w:val="20"/>
              </w:rPr>
              <w:t xml:space="preserve"> </w:t>
            </w:r>
            <w:proofErr w:type="spellStart"/>
            <w:r w:rsidRPr="00B34608">
              <w:rPr>
                <w:sz w:val="20"/>
              </w:rPr>
              <w:t>Žemaitijos</w:t>
            </w:r>
            <w:proofErr w:type="spellEnd"/>
            <w:r w:rsidRPr="00B34608">
              <w:rPr>
                <w:sz w:val="20"/>
              </w:rPr>
              <w:t xml:space="preserve"> </w:t>
            </w:r>
            <w:proofErr w:type="spellStart"/>
            <w:r w:rsidRPr="00B34608">
              <w:rPr>
                <w:sz w:val="20"/>
              </w:rPr>
              <w:t>iždas</w:t>
            </w:r>
            <w:proofErr w:type="spellEnd"/>
          </w:p>
        </w:tc>
        <w:tc>
          <w:tcPr>
            <w:tcW w:w="2154" w:type="dxa"/>
          </w:tcPr>
          <w:p w:rsidR="00D2569B" w:rsidRPr="00B34608" w:rsidRDefault="00D2569B" w:rsidP="00A5618B">
            <w:pPr>
              <w:tabs>
                <w:tab w:val="left" w:pos="0"/>
              </w:tabs>
              <w:jc w:val="right"/>
              <w:rPr>
                <w:sz w:val="20"/>
              </w:rPr>
            </w:pPr>
            <w:r>
              <w:rPr>
                <w:sz w:val="20"/>
              </w:rPr>
              <w:t>555,</w:t>
            </w:r>
            <w:r w:rsidRPr="00B34608">
              <w:rPr>
                <w:sz w:val="20"/>
              </w:rPr>
              <w:t>000</w:t>
            </w:r>
          </w:p>
        </w:tc>
        <w:tc>
          <w:tcPr>
            <w:tcW w:w="2145" w:type="dxa"/>
            <w:vAlign w:val="center"/>
          </w:tcPr>
          <w:p w:rsidR="00D2569B" w:rsidRPr="00B34608" w:rsidRDefault="00D2569B" w:rsidP="00A5618B">
            <w:pPr>
              <w:tabs>
                <w:tab w:val="left" w:pos="0"/>
              </w:tabs>
              <w:jc w:val="right"/>
              <w:rPr>
                <w:sz w:val="20"/>
              </w:rPr>
            </w:pPr>
          </w:p>
        </w:tc>
      </w:tr>
      <w:tr w:rsidR="00D2569B" w:rsidRPr="00B34608" w:rsidTr="00350AAA">
        <w:trPr>
          <w:trHeight w:val="315"/>
        </w:trPr>
        <w:tc>
          <w:tcPr>
            <w:tcW w:w="721" w:type="dxa"/>
          </w:tcPr>
          <w:p w:rsidR="00D2569B" w:rsidRPr="00B34608" w:rsidRDefault="00D2569B" w:rsidP="00A5618B">
            <w:pPr>
              <w:tabs>
                <w:tab w:val="left" w:pos="0"/>
              </w:tabs>
              <w:jc w:val="both"/>
              <w:rPr>
                <w:b/>
                <w:sz w:val="20"/>
              </w:rPr>
            </w:pPr>
          </w:p>
        </w:tc>
        <w:tc>
          <w:tcPr>
            <w:tcW w:w="4566" w:type="dxa"/>
            <w:vAlign w:val="center"/>
          </w:tcPr>
          <w:p w:rsidR="00D2569B" w:rsidRPr="00B34608" w:rsidRDefault="00D2569B" w:rsidP="00A5618B">
            <w:pPr>
              <w:tabs>
                <w:tab w:val="left" w:pos="0"/>
              </w:tabs>
              <w:jc w:val="both"/>
              <w:rPr>
                <w:b/>
                <w:sz w:val="20"/>
              </w:rPr>
            </w:pPr>
            <w:r>
              <w:rPr>
                <w:b/>
                <w:sz w:val="20"/>
              </w:rPr>
              <w:t>Total</w:t>
            </w:r>
            <w:r w:rsidRPr="00B34608">
              <w:rPr>
                <w:b/>
                <w:sz w:val="20"/>
              </w:rPr>
              <w:t>:</w:t>
            </w:r>
          </w:p>
        </w:tc>
        <w:tc>
          <w:tcPr>
            <w:tcW w:w="2154" w:type="dxa"/>
          </w:tcPr>
          <w:p w:rsidR="00D2569B" w:rsidRPr="00B34608" w:rsidRDefault="00D2569B" w:rsidP="00A5618B">
            <w:pPr>
              <w:tabs>
                <w:tab w:val="left" w:pos="0"/>
              </w:tabs>
              <w:jc w:val="right"/>
              <w:rPr>
                <w:sz w:val="20"/>
              </w:rPr>
            </w:pPr>
            <w:r>
              <w:rPr>
                <w:b/>
                <w:sz w:val="20"/>
              </w:rPr>
              <w:t>48,440,</w:t>
            </w:r>
            <w:r w:rsidRPr="00B34608">
              <w:rPr>
                <w:b/>
                <w:sz w:val="20"/>
              </w:rPr>
              <w:t>500</w:t>
            </w:r>
          </w:p>
        </w:tc>
        <w:tc>
          <w:tcPr>
            <w:tcW w:w="2145" w:type="dxa"/>
            <w:vAlign w:val="center"/>
          </w:tcPr>
          <w:p w:rsidR="00D2569B" w:rsidRPr="00B34608" w:rsidRDefault="00D2569B" w:rsidP="00A5618B">
            <w:pPr>
              <w:tabs>
                <w:tab w:val="left" w:pos="0"/>
              </w:tabs>
              <w:jc w:val="right"/>
              <w:rPr>
                <w:b/>
                <w:sz w:val="20"/>
              </w:rPr>
            </w:pPr>
            <w:r>
              <w:rPr>
                <w:b/>
                <w:sz w:val="20"/>
              </w:rPr>
              <w:t>79,</w:t>
            </w:r>
            <w:r w:rsidRPr="00B34608">
              <w:rPr>
                <w:b/>
                <w:sz w:val="20"/>
              </w:rPr>
              <w:t>232</w:t>
            </w:r>
            <w:r>
              <w:rPr>
                <w:b/>
                <w:sz w:val="20"/>
              </w:rPr>
              <w:t>,</w:t>
            </w:r>
            <w:r w:rsidRPr="00B34608">
              <w:rPr>
                <w:b/>
                <w:sz w:val="20"/>
              </w:rPr>
              <w:t>000</w:t>
            </w:r>
          </w:p>
        </w:tc>
      </w:tr>
    </w:tbl>
    <w:p w:rsidR="00D2569B" w:rsidRPr="00B34608" w:rsidRDefault="00D2569B" w:rsidP="00D62DC6">
      <w:pPr>
        <w:pStyle w:val="prastasiniatinklio"/>
        <w:jc w:val="both"/>
        <w:rPr>
          <w:b/>
          <w:lang w:val="en-GB"/>
        </w:rPr>
      </w:pPr>
    </w:p>
    <w:p w:rsidR="00D2569B" w:rsidRPr="00B34608" w:rsidRDefault="00D2569B" w:rsidP="00D62DC6">
      <w:pPr>
        <w:pStyle w:val="prastasiniatinklio"/>
        <w:jc w:val="both"/>
        <w:rPr>
          <w:b/>
          <w:lang w:val="en-GB"/>
        </w:rPr>
      </w:pPr>
      <w:r>
        <w:rPr>
          <w:b/>
          <w:lang w:val="en-GB"/>
        </w:rPr>
        <w:t xml:space="preserve">Note </w:t>
      </w:r>
      <w:r w:rsidRPr="00B34608">
        <w:rPr>
          <w:b/>
          <w:lang w:val="en-GB"/>
        </w:rPr>
        <w:t xml:space="preserve">13. </w:t>
      </w:r>
      <w:r>
        <w:rPr>
          <w:b/>
          <w:lang w:val="en-GB"/>
        </w:rPr>
        <w:t>Rights and obligations</w:t>
      </w:r>
      <w:r w:rsidRPr="00B34608">
        <w:rPr>
          <w:b/>
          <w:lang w:val="en-GB"/>
        </w:rPr>
        <w:t xml:space="preserve"> </w:t>
      </w:r>
      <w:r>
        <w:rPr>
          <w:b/>
          <w:lang w:val="en-GB"/>
        </w:rPr>
        <w:t xml:space="preserve">not reflected in the statement of financial position </w:t>
      </w:r>
      <w:r w:rsidRPr="00B34608">
        <w:rPr>
          <w:b/>
          <w:lang w:val="en-GB"/>
        </w:rPr>
        <w:t xml:space="preserve"> </w:t>
      </w:r>
    </w:p>
    <w:p w:rsidR="00D2569B" w:rsidRPr="00B34608" w:rsidRDefault="00D2569B" w:rsidP="007A3026">
      <w:pPr>
        <w:pStyle w:val="Pagrindinistekstas"/>
        <w:spacing w:before="0" w:after="0" w:line="276" w:lineRule="auto"/>
        <w:rPr>
          <w:szCs w:val="22"/>
        </w:rPr>
      </w:pPr>
      <w:r w:rsidRPr="00B34608">
        <w:rPr>
          <w:szCs w:val="22"/>
        </w:rPr>
        <w:t xml:space="preserve">        </w:t>
      </w:r>
      <w:r>
        <w:rPr>
          <w:szCs w:val="22"/>
        </w:rPr>
        <w:t xml:space="preserve">According to </w:t>
      </w:r>
      <w:r w:rsidRPr="00B34608">
        <w:rPr>
          <w:szCs w:val="22"/>
        </w:rPr>
        <w:t xml:space="preserve">18 </w:t>
      </w:r>
      <w:r>
        <w:rPr>
          <w:szCs w:val="22"/>
        </w:rPr>
        <w:t>PSAFRS, the</w:t>
      </w:r>
      <w:r w:rsidRPr="00B34608">
        <w:rPr>
          <w:szCs w:val="22"/>
        </w:rPr>
        <w:t xml:space="preserve"> </w:t>
      </w:r>
      <w:r>
        <w:rPr>
          <w:szCs w:val="22"/>
        </w:rPr>
        <w:t>Company determined contingent assets of the</w:t>
      </w:r>
      <w:r w:rsidRPr="00B34608">
        <w:rPr>
          <w:szCs w:val="22"/>
        </w:rPr>
        <w:t xml:space="preserve"> </w:t>
      </w:r>
      <w:r>
        <w:rPr>
          <w:szCs w:val="22"/>
        </w:rPr>
        <w:t>Fund</w:t>
      </w:r>
      <w:r w:rsidRPr="00B34608">
        <w:rPr>
          <w:szCs w:val="22"/>
        </w:rPr>
        <w:t xml:space="preserve"> </w:t>
      </w:r>
      <w:r>
        <w:rPr>
          <w:szCs w:val="22"/>
        </w:rPr>
        <w:t>that are defined as</w:t>
      </w:r>
      <w:r>
        <w:rPr>
          <w:color w:val="000000"/>
          <w:szCs w:val="22"/>
        </w:rPr>
        <w:t xml:space="preserve"> </w:t>
      </w:r>
      <w:r w:rsidRPr="00B64DC7">
        <w:rPr>
          <w:szCs w:val="22"/>
        </w:rPr>
        <w:t>possible asset</w:t>
      </w:r>
      <w:r>
        <w:rPr>
          <w:szCs w:val="22"/>
        </w:rPr>
        <w:t xml:space="preserve">s which result </w:t>
      </w:r>
      <w:r w:rsidRPr="00B64DC7">
        <w:rPr>
          <w:szCs w:val="22"/>
        </w:rPr>
        <w:t xml:space="preserve">from past events and </w:t>
      </w:r>
      <w:r>
        <w:rPr>
          <w:szCs w:val="22"/>
        </w:rPr>
        <w:t>the</w:t>
      </w:r>
      <w:r w:rsidRPr="00B64DC7">
        <w:rPr>
          <w:szCs w:val="22"/>
        </w:rPr>
        <w:t xml:space="preserve"> existence</w:t>
      </w:r>
      <w:r>
        <w:rPr>
          <w:szCs w:val="22"/>
        </w:rPr>
        <w:t xml:space="preserve"> of which</w:t>
      </w:r>
      <w:r w:rsidRPr="00B64DC7">
        <w:rPr>
          <w:szCs w:val="22"/>
        </w:rPr>
        <w:t xml:space="preserve"> will be confirmed only by</w:t>
      </w:r>
      <w:r>
        <w:rPr>
          <w:szCs w:val="22"/>
        </w:rPr>
        <w:t xml:space="preserve"> the </w:t>
      </w:r>
      <w:r w:rsidRPr="00B64DC7">
        <w:rPr>
          <w:szCs w:val="22"/>
        </w:rPr>
        <w:t>occurrence or non-occurrence of one or more uncertain future events not wholly within the control of the</w:t>
      </w:r>
      <w:r>
        <w:rPr>
          <w:szCs w:val="22"/>
        </w:rPr>
        <w:t xml:space="preserve"> Fund</w:t>
      </w:r>
      <w:r w:rsidRPr="00B34608">
        <w:rPr>
          <w:szCs w:val="22"/>
        </w:rPr>
        <w:t xml:space="preserve">. </w:t>
      </w:r>
      <w:r>
        <w:rPr>
          <w:szCs w:val="22"/>
        </w:rPr>
        <w:t>These contingent assets are not reflected in the statement of financial position</w:t>
      </w:r>
      <w:r w:rsidRPr="00B34608">
        <w:rPr>
          <w:szCs w:val="22"/>
        </w:rPr>
        <w:t xml:space="preserve">. </w:t>
      </w:r>
    </w:p>
    <w:p w:rsidR="00D2569B" w:rsidRPr="00B34608" w:rsidRDefault="00D2569B" w:rsidP="007A3026">
      <w:pPr>
        <w:pStyle w:val="Pagrindinistekstas"/>
        <w:spacing w:before="0" w:after="0" w:line="276" w:lineRule="auto"/>
        <w:rPr>
          <w:szCs w:val="22"/>
        </w:rPr>
      </w:pPr>
      <w:r w:rsidRPr="00B34608">
        <w:rPr>
          <w:szCs w:val="22"/>
        </w:rPr>
        <w:t xml:space="preserve">      </w:t>
      </w:r>
      <w:r>
        <w:rPr>
          <w:szCs w:val="22"/>
        </w:rPr>
        <w:t xml:space="preserve">Table </w:t>
      </w:r>
      <w:r w:rsidRPr="00B34608">
        <w:rPr>
          <w:szCs w:val="22"/>
        </w:rPr>
        <w:t>11</w:t>
      </w:r>
      <w:r>
        <w:rPr>
          <w:szCs w:val="22"/>
        </w:rPr>
        <w:t xml:space="preserve"> shows credit claims of the</w:t>
      </w:r>
      <w:r w:rsidRPr="00B34608">
        <w:rPr>
          <w:szCs w:val="22"/>
        </w:rPr>
        <w:t xml:space="preserve"> </w:t>
      </w:r>
      <w:r>
        <w:rPr>
          <w:szCs w:val="22"/>
        </w:rPr>
        <w:t>Fund</w:t>
      </w:r>
      <w:r w:rsidRPr="00B34608">
        <w:rPr>
          <w:szCs w:val="22"/>
        </w:rPr>
        <w:t xml:space="preserve"> </w:t>
      </w:r>
      <w:r>
        <w:rPr>
          <w:szCs w:val="22"/>
        </w:rPr>
        <w:t>with bankrupt credit institutions according to the actual data as at 31 December</w:t>
      </w:r>
      <w:r w:rsidRPr="00B34608">
        <w:rPr>
          <w:szCs w:val="22"/>
        </w:rPr>
        <w:t xml:space="preserve"> 2017.</w:t>
      </w:r>
    </w:p>
    <w:p w:rsidR="00D2569B" w:rsidRPr="009966A3" w:rsidRDefault="00D2569B" w:rsidP="00A30CF8">
      <w:pPr>
        <w:pStyle w:val="Antrat1"/>
        <w:tabs>
          <w:tab w:val="left" w:pos="0"/>
        </w:tabs>
        <w:spacing w:line="240" w:lineRule="auto"/>
        <w:rPr>
          <w:b w:val="0"/>
          <w:i/>
          <w:sz w:val="22"/>
          <w:szCs w:val="22"/>
        </w:rPr>
      </w:pPr>
      <w:r>
        <w:rPr>
          <w:b w:val="0"/>
          <w:i/>
          <w:sz w:val="22"/>
          <w:szCs w:val="22"/>
        </w:rPr>
        <w:t xml:space="preserve">Table </w:t>
      </w:r>
      <w:r w:rsidRPr="00B34608">
        <w:rPr>
          <w:b w:val="0"/>
          <w:i/>
          <w:sz w:val="22"/>
          <w:szCs w:val="22"/>
        </w:rPr>
        <w:t xml:space="preserve">11. </w:t>
      </w:r>
      <w:r>
        <w:rPr>
          <w:b w:val="0"/>
          <w:i/>
          <w:sz w:val="22"/>
          <w:szCs w:val="22"/>
        </w:rPr>
        <w:t xml:space="preserve">Rights and liabilities not reflected in </w:t>
      </w:r>
      <w:r w:rsidRPr="009966A3">
        <w:rPr>
          <w:b w:val="0"/>
          <w:i/>
          <w:sz w:val="22"/>
          <w:szCs w:val="22"/>
        </w:rPr>
        <w:t>the statement of financial position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559"/>
        <w:gridCol w:w="1417"/>
        <w:gridCol w:w="1276"/>
        <w:gridCol w:w="1418"/>
      </w:tblGrid>
      <w:tr w:rsidR="00D2569B" w:rsidRPr="00B34608" w:rsidTr="00BA5A6C">
        <w:tc>
          <w:tcPr>
            <w:tcW w:w="567" w:type="dxa"/>
            <w:tcBorders>
              <w:bottom w:val="nil"/>
            </w:tcBorders>
          </w:tcPr>
          <w:p w:rsidR="00D2569B" w:rsidRPr="00B34608" w:rsidRDefault="00D2569B" w:rsidP="001353EA">
            <w:pPr>
              <w:rPr>
                <w:b/>
                <w:sz w:val="20"/>
              </w:rPr>
            </w:pPr>
            <w:r>
              <w:rPr>
                <w:b/>
                <w:sz w:val="20"/>
              </w:rPr>
              <w:t>Seq. No</w:t>
            </w:r>
          </w:p>
        </w:tc>
        <w:tc>
          <w:tcPr>
            <w:tcW w:w="3261" w:type="dxa"/>
            <w:tcBorders>
              <w:bottom w:val="nil"/>
            </w:tcBorders>
            <w:vAlign w:val="center"/>
          </w:tcPr>
          <w:p w:rsidR="00D2569B" w:rsidRPr="00B34608" w:rsidRDefault="00D2569B" w:rsidP="001353EA">
            <w:pPr>
              <w:rPr>
                <w:b/>
                <w:sz w:val="20"/>
              </w:rPr>
            </w:pPr>
            <w:r>
              <w:rPr>
                <w:b/>
                <w:sz w:val="20"/>
              </w:rPr>
              <w:t xml:space="preserve">Credit claim receivable from credit institutions </w:t>
            </w:r>
          </w:p>
        </w:tc>
        <w:tc>
          <w:tcPr>
            <w:tcW w:w="2976" w:type="dxa"/>
            <w:gridSpan w:val="2"/>
            <w:vAlign w:val="center"/>
          </w:tcPr>
          <w:p w:rsidR="00D2569B" w:rsidRPr="00B34608" w:rsidRDefault="00D2569B" w:rsidP="001353EA">
            <w:pPr>
              <w:jc w:val="center"/>
              <w:rPr>
                <w:b/>
                <w:sz w:val="20"/>
              </w:rPr>
            </w:pPr>
            <w:r>
              <w:rPr>
                <w:b/>
                <w:sz w:val="20"/>
              </w:rPr>
              <w:t xml:space="preserve">31 12 </w:t>
            </w:r>
            <w:r w:rsidRPr="00B34608">
              <w:rPr>
                <w:b/>
                <w:sz w:val="20"/>
              </w:rPr>
              <w:t>2017</w:t>
            </w:r>
          </w:p>
        </w:tc>
        <w:tc>
          <w:tcPr>
            <w:tcW w:w="2694" w:type="dxa"/>
            <w:gridSpan w:val="2"/>
            <w:vAlign w:val="center"/>
          </w:tcPr>
          <w:p w:rsidR="00D2569B" w:rsidRPr="00B34608" w:rsidRDefault="00D2569B" w:rsidP="001353EA">
            <w:pPr>
              <w:jc w:val="center"/>
              <w:rPr>
                <w:b/>
                <w:sz w:val="20"/>
              </w:rPr>
            </w:pPr>
            <w:r>
              <w:rPr>
                <w:b/>
                <w:sz w:val="20"/>
              </w:rPr>
              <w:t xml:space="preserve">31 12 </w:t>
            </w:r>
            <w:r w:rsidRPr="00B34608">
              <w:rPr>
                <w:b/>
                <w:sz w:val="20"/>
              </w:rPr>
              <w:t>2016</w:t>
            </w:r>
          </w:p>
        </w:tc>
      </w:tr>
      <w:tr w:rsidR="00D2569B" w:rsidRPr="00B34608" w:rsidTr="00BA5A6C">
        <w:tc>
          <w:tcPr>
            <w:tcW w:w="567" w:type="dxa"/>
            <w:tcBorders>
              <w:top w:val="nil"/>
            </w:tcBorders>
          </w:tcPr>
          <w:p w:rsidR="00D2569B" w:rsidRPr="00B34608" w:rsidRDefault="00D2569B" w:rsidP="001353EA">
            <w:pPr>
              <w:rPr>
                <w:sz w:val="20"/>
              </w:rPr>
            </w:pPr>
          </w:p>
        </w:tc>
        <w:tc>
          <w:tcPr>
            <w:tcW w:w="3261" w:type="dxa"/>
            <w:tcBorders>
              <w:top w:val="nil"/>
            </w:tcBorders>
            <w:vAlign w:val="center"/>
          </w:tcPr>
          <w:p w:rsidR="00D2569B" w:rsidRPr="00B34608" w:rsidRDefault="00D2569B" w:rsidP="001353EA">
            <w:pPr>
              <w:rPr>
                <w:sz w:val="20"/>
              </w:rPr>
            </w:pPr>
          </w:p>
        </w:tc>
        <w:tc>
          <w:tcPr>
            <w:tcW w:w="1559" w:type="dxa"/>
            <w:vAlign w:val="center"/>
          </w:tcPr>
          <w:p w:rsidR="00D2569B" w:rsidRPr="00B34608" w:rsidRDefault="00D2569B" w:rsidP="001353EA">
            <w:pPr>
              <w:jc w:val="center"/>
              <w:rPr>
                <w:b/>
                <w:sz w:val="20"/>
              </w:rPr>
            </w:pPr>
            <w:r>
              <w:rPr>
                <w:b/>
                <w:sz w:val="20"/>
              </w:rPr>
              <w:t xml:space="preserve">Line </w:t>
            </w:r>
            <w:r w:rsidRPr="00B34608">
              <w:rPr>
                <w:b/>
                <w:sz w:val="20"/>
              </w:rPr>
              <w:t>2</w:t>
            </w:r>
          </w:p>
        </w:tc>
        <w:tc>
          <w:tcPr>
            <w:tcW w:w="1417" w:type="dxa"/>
            <w:vAlign w:val="center"/>
          </w:tcPr>
          <w:p w:rsidR="00D2569B" w:rsidRPr="00B34608" w:rsidRDefault="00D2569B" w:rsidP="001353EA">
            <w:pPr>
              <w:jc w:val="center"/>
              <w:rPr>
                <w:b/>
                <w:sz w:val="20"/>
              </w:rPr>
            </w:pPr>
            <w:r>
              <w:rPr>
                <w:b/>
                <w:sz w:val="20"/>
              </w:rPr>
              <w:t xml:space="preserve">Line </w:t>
            </w:r>
            <w:r w:rsidRPr="00B34608">
              <w:rPr>
                <w:b/>
                <w:sz w:val="20"/>
              </w:rPr>
              <w:t>4</w:t>
            </w:r>
          </w:p>
        </w:tc>
        <w:tc>
          <w:tcPr>
            <w:tcW w:w="1276" w:type="dxa"/>
            <w:vAlign w:val="center"/>
          </w:tcPr>
          <w:p w:rsidR="00D2569B" w:rsidRPr="00B34608" w:rsidRDefault="00D2569B" w:rsidP="00377735">
            <w:pPr>
              <w:jc w:val="center"/>
              <w:rPr>
                <w:b/>
                <w:sz w:val="20"/>
              </w:rPr>
            </w:pPr>
            <w:r>
              <w:rPr>
                <w:b/>
                <w:sz w:val="20"/>
              </w:rPr>
              <w:t xml:space="preserve">Line </w:t>
            </w:r>
            <w:r w:rsidRPr="00B34608">
              <w:rPr>
                <w:b/>
                <w:sz w:val="20"/>
              </w:rPr>
              <w:t>2</w:t>
            </w:r>
          </w:p>
        </w:tc>
        <w:tc>
          <w:tcPr>
            <w:tcW w:w="1418" w:type="dxa"/>
            <w:vAlign w:val="center"/>
          </w:tcPr>
          <w:p w:rsidR="00D2569B" w:rsidRPr="00B34608" w:rsidRDefault="00D2569B" w:rsidP="00377735">
            <w:pPr>
              <w:jc w:val="center"/>
              <w:rPr>
                <w:b/>
                <w:sz w:val="20"/>
              </w:rPr>
            </w:pPr>
            <w:r>
              <w:rPr>
                <w:b/>
                <w:sz w:val="20"/>
              </w:rPr>
              <w:t xml:space="preserve">Line </w:t>
            </w:r>
            <w:r w:rsidRPr="00B34608">
              <w:rPr>
                <w:b/>
                <w:sz w:val="20"/>
              </w:rPr>
              <w:t>4</w:t>
            </w:r>
          </w:p>
        </w:tc>
      </w:tr>
      <w:tr w:rsidR="00D2569B" w:rsidRPr="00B34608" w:rsidTr="00BA5A6C">
        <w:tc>
          <w:tcPr>
            <w:tcW w:w="567" w:type="dxa"/>
            <w:vAlign w:val="center"/>
          </w:tcPr>
          <w:p w:rsidR="00D2569B" w:rsidRPr="00B34608" w:rsidRDefault="00D2569B" w:rsidP="00BA5A6C">
            <w:pPr>
              <w:jc w:val="center"/>
              <w:rPr>
                <w:sz w:val="20"/>
              </w:rPr>
            </w:pPr>
            <w:r w:rsidRPr="00B34608">
              <w:rPr>
                <w:sz w:val="20"/>
              </w:rPr>
              <w:t>1</w:t>
            </w:r>
          </w:p>
        </w:tc>
        <w:tc>
          <w:tcPr>
            <w:tcW w:w="3261" w:type="dxa"/>
            <w:vAlign w:val="center"/>
          </w:tcPr>
          <w:p w:rsidR="00D2569B" w:rsidRPr="00B34608" w:rsidRDefault="00D2569B" w:rsidP="00BA5A6C">
            <w:pPr>
              <w:jc w:val="center"/>
              <w:rPr>
                <w:sz w:val="20"/>
              </w:rPr>
            </w:pPr>
            <w:r w:rsidRPr="00B34608">
              <w:rPr>
                <w:sz w:val="20"/>
              </w:rPr>
              <w:t>2</w:t>
            </w:r>
          </w:p>
        </w:tc>
        <w:tc>
          <w:tcPr>
            <w:tcW w:w="1559" w:type="dxa"/>
            <w:vAlign w:val="center"/>
          </w:tcPr>
          <w:p w:rsidR="00D2569B" w:rsidRPr="00B34608" w:rsidRDefault="00D2569B" w:rsidP="00BA5A6C">
            <w:pPr>
              <w:jc w:val="center"/>
              <w:rPr>
                <w:sz w:val="20"/>
              </w:rPr>
            </w:pPr>
            <w:r w:rsidRPr="00B34608">
              <w:rPr>
                <w:sz w:val="20"/>
              </w:rPr>
              <w:t>3</w:t>
            </w:r>
          </w:p>
        </w:tc>
        <w:tc>
          <w:tcPr>
            <w:tcW w:w="1417" w:type="dxa"/>
            <w:vAlign w:val="center"/>
          </w:tcPr>
          <w:p w:rsidR="00D2569B" w:rsidRPr="00B34608" w:rsidRDefault="00D2569B" w:rsidP="00BA5A6C">
            <w:pPr>
              <w:jc w:val="center"/>
              <w:rPr>
                <w:sz w:val="20"/>
              </w:rPr>
            </w:pPr>
            <w:r w:rsidRPr="00B34608">
              <w:rPr>
                <w:sz w:val="20"/>
              </w:rPr>
              <w:t>4</w:t>
            </w:r>
          </w:p>
        </w:tc>
        <w:tc>
          <w:tcPr>
            <w:tcW w:w="1276" w:type="dxa"/>
            <w:vAlign w:val="center"/>
          </w:tcPr>
          <w:p w:rsidR="00D2569B" w:rsidRPr="00B34608" w:rsidRDefault="00D2569B" w:rsidP="00BA5A6C">
            <w:pPr>
              <w:jc w:val="center"/>
              <w:rPr>
                <w:sz w:val="20"/>
              </w:rPr>
            </w:pPr>
            <w:r w:rsidRPr="00B34608">
              <w:rPr>
                <w:sz w:val="20"/>
              </w:rPr>
              <w:t>5</w:t>
            </w:r>
          </w:p>
        </w:tc>
        <w:tc>
          <w:tcPr>
            <w:tcW w:w="1418" w:type="dxa"/>
            <w:vAlign w:val="center"/>
          </w:tcPr>
          <w:p w:rsidR="00D2569B" w:rsidRPr="00B34608" w:rsidRDefault="00D2569B" w:rsidP="00BA5A6C">
            <w:pPr>
              <w:jc w:val="center"/>
              <w:rPr>
                <w:sz w:val="20"/>
              </w:rPr>
            </w:pPr>
            <w:r w:rsidRPr="00B34608">
              <w:rPr>
                <w:sz w:val="20"/>
              </w:rPr>
              <w:t>6</w:t>
            </w:r>
          </w:p>
        </w:tc>
      </w:tr>
      <w:tr w:rsidR="00D2569B" w:rsidRPr="00B34608" w:rsidTr="00BA5A6C">
        <w:tc>
          <w:tcPr>
            <w:tcW w:w="567" w:type="dxa"/>
          </w:tcPr>
          <w:p w:rsidR="00D2569B" w:rsidRPr="00B34608" w:rsidRDefault="00D2569B" w:rsidP="001353EA">
            <w:pPr>
              <w:rPr>
                <w:sz w:val="20"/>
              </w:rPr>
            </w:pPr>
            <w:r w:rsidRPr="00B34608">
              <w:rPr>
                <w:sz w:val="20"/>
              </w:rPr>
              <w:t>1.</w:t>
            </w:r>
          </w:p>
        </w:tc>
        <w:tc>
          <w:tcPr>
            <w:tcW w:w="3261" w:type="dxa"/>
            <w:vAlign w:val="center"/>
          </w:tcPr>
          <w:p w:rsidR="00D2569B" w:rsidRPr="00B34608" w:rsidRDefault="00D2569B" w:rsidP="001353EA">
            <w:pPr>
              <w:rPr>
                <w:sz w:val="20"/>
              </w:rPr>
            </w:pPr>
            <w:r w:rsidRPr="00B34608">
              <w:rPr>
                <w:sz w:val="20"/>
              </w:rPr>
              <w:t xml:space="preserve">BAB </w:t>
            </w:r>
            <w:proofErr w:type="spellStart"/>
            <w:r w:rsidRPr="00B34608">
              <w:rPr>
                <w:sz w:val="20"/>
              </w:rPr>
              <w:t>bankas</w:t>
            </w:r>
            <w:proofErr w:type="spellEnd"/>
            <w:r w:rsidRPr="00B34608">
              <w:rPr>
                <w:sz w:val="20"/>
              </w:rPr>
              <w:t xml:space="preserve"> SNORAS</w:t>
            </w:r>
          </w:p>
        </w:tc>
        <w:tc>
          <w:tcPr>
            <w:tcW w:w="1559" w:type="dxa"/>
            <w:vAlign w:val="center"/>
          </w:tcPr>
          <w:p w:rsidR="00D2569B" w:rsidRPr="00B34608" w:rsidRDefault="00D2569B" w:rsidP="00E114AE">
            <w:pPr>
              <w:jc w:val="right"/>
              <w:rPr>
                <w:sz w:val="20"/>
              </w:rPr>
            </w:pPr>
            <w:r w:rsidRPr="00B34608">
              <w:rPr>
                <w:sz w:val="20"/>
              </w:rPr>
              <w:t>229</w:t>
            </w:r>
            <w:r>
              <w:rPr>
                <w:sz w:val="20"/>
              </w:rPr>
              <w:t>,</w:t>
            </w:r>
            <w:r w:rsidRPr="00B34608">
              <w:rPr>
                <w:sz w:val="20"/>
              </w:rPr>
              <w:t>633</w:t>
            </w:r>
            <w:r>
              <w:rPr>
                <w:sz w:val="20"/>
              </w:rPr>
              <w:t>,</w:t>
            </w:r>
            <w:r w:rsidRPr="00B34608">
              <w:rPr>
                <w:sz w:val="20"/>
              </w:rPr>
              <w:t>997</w:t>
            </w:r>
          </w:p>
        </w:tc>
        <w:tc>
          <w:tcPr>
            <w:tcW w:w="1417" w:type="dxa"/>
            <w:vAlign w:val="center"/>
          </w:tcPr>
          <w:p w:rsidR="00D2569B" w:rsidRPr="00B34608" w:rsidRDefault="00D2569B" w:rsidP="002C51AA">
            <w:pPr>
              <w:jc w:val="right"/>
              <w:rPr>
                <w:sz w:val="20"/>
              </w:rPr>
            </w:pPr>
            <w:r>
              <w:rPr>
                <w:sz w:val="20"/>
              </w:rPr>
              <w:t>1,</w:t>
            </w:r>
            <w:r w:rsidRPr="00B34608">
              <w:rPr>
                <w:sz w:val="20"/>
              </w:rPr>
              <w:t>445</w:t>
            </w:r>
            <w:r>
              <w:rPr>
                <w:sz w:val="20"/>
              </w:rPr>
              <w:t>,</w:t>
            </w:r>
            <w:r w:rsidRPr="00B34608">
              <w:rPr>
                <w:sz w:val="20"/>
              </w:rPr>
              <w:t>887</w:t>
            </w:r>
          </w:p>
        </w:tc>
        <w:tc>
          <w:tcPr>
            <w:tcW w:w="1276" w:type="dxa"/>
            <w:vAlign w:val="center"/>
          </w:tcPr>
          <w:p w:rsidR="00D2569B" w:rsidRPr="00B34608" w:rsidRDefault="00D2569B" w:rsidP="001353EA">
            <w:pPr>
              <w:jc w:val="right"/>
              <w:rPr>
                <w:sz w:val="20"/>
              </w:rPr>
            </w:pPr>
            <w:r>
              <w:rPr>
                <w:sz w:val="20"/>
              </w:rPr>
              <w:t>237,</w:t>
            </w:r>
            <w:r w:rsidRPr="00B34608">
              <w:rPr>
                <w:sz w:val="20"/>
              </w:rPr>
              <w:t>498</w:t>
            </w:r>
            <w:r>
              <w:rPr>
                <w:sz w:val="20"/>
              </w:rPr>
              <w:t>,</w:t>
            </w:r>
            <w:r w:rsidRPr="00B34608">
              <w:rPr>
                <w:sz w:val="20"/>
              </w:rPr>
              <w:t>610</w:t>
            </w:r>
          </w:p>
        </w:tc>
        <w:tc>
          <w:tcPr>
            <w:tcW w:w="1418" w:type="dxa"/>
            <w:vAlign w:val="center"/>
          </w:tcPr>
          <w:p w:rsidR="00D2569B" w:rsidRPr="00B34608" w:rsidRDefault="00D2569B" w:rsidP="001353EA">
            <w:pPr>
              <w:jc w:val="right"/>
              <w:rPr>
                <w:sz w:val="20"/>
              </w:rPr>
            </w:pPr>
            <w:r>
              <w:rPr>
                <w:sz w:val="20"/>
              </w:rPr>
              <w:t>1,</w:t>
            </w:r>
            <w:r w:rsidRPr="00B34608">
              <w:rPr>
                <w:sz w:val="20"/>
              </w:rPr>
              <w:t>126</w:t>
            </w:r>
            <w:r>
              <w:rPr>
                <w:sz w:val="20"/>
              </w:rPr>
              <w:t>,</w:t>
            </w:r>
            <w:r w:rsidRPr="00B34608">
              <w:rPr>
                <w:sz w:val="20"/>
              </w:rPr>
              <w:t>977</w:t>
            </w:r>
          </w:p>
        </w:tc>
      </w:tr>
      <w:tr w:rsidR="00D2569B" w:rsidRPr="00B34608" w:rsidTr="00BA5A6C">
        <w:tc>
          <w:tcPr>
            <w:tcW w:w="567" w:type="dxa"/>
          </w:tcPr>
          <w:p w:rsidR="00D2569B" w:rsidRPr="00B34608" w:rsidRDefault="00D2569B" w:rsidP="001353EA">
            <w:pPr>
              <w:rPr>
                <w:sz w:val="20"/>
              </w:rPr>
            </w:pPr>
            <w:r w:rsidRPr="00B34608">
              <w:rPr>
                <w:sz w:val="20"/>
              </w:rPr>
              <w:t>2.</w:t>
            </w:r>
          </w:p>
        </w:tc>
        <w:tc>
          <w:tcPr>
            <w:tcW w:w="3261" w:type="dxa"/>
            <w:vAlign w:val="center"/>
          </w:tcPr>
          <w:p w:rsidR="00D2569B" w:rsidRPr="00B34608" w:rsidRDefault="00D2569B" w:rsidP="001353EA">
            <w:pPr>
              <w:rPr>
                <w:sz w:val="20"/>
              </w:rPr>
            </w:pPr>
            <w:r w:rsidRPr="00B34608">
              <w:rPr>
                <w:sz w:val="20"/>
              </w:rPr>
              <w:t xml:space="preserve">BAB </w:t>
            </w:r>
            <w:proofErr w:type="spellStart"/>
            <w:r w:rsidRPr="00B34608">
              <w:rPr>
                <w:sz w:val="20"/>
              </w:rPr>
              <w:t>Ūkio</w:t>
            </w:r>
            <w:proofErr w:type="spellEnd"/>
            <w:r w:rsidRPr="00B34608">
              <w:rPr>
                <w:sz w:val="20"/>
              </w:rPr>
              <w:t xml:space="preserve"> </w:t>
            </w:r>
            <w:proofErr w:type="spellStart"/>
            <w:r w:rsidRPr="00B34608">
              <w:rPr>
                <w:sz w:val="20"/>
              </w:rPr>
              <w:t>bankas</w:t>
            </w:r>
            <w:proofErr w:type="spellEnd"/>
          </w:p>
        </w:tc>
        <w:tc>
          <w:tcPr>
            <w:tcW w:w="1559" w:type="dxa"/>
            <w:vAlign w:val="center"/>
          </w:tcPr>
          <w:p w:rsidR="00D2569B" w:rsidRPr="00B34608" w:rsidRDefault="00D2569B" w:rsidP="00897A91">
            <w:pPr>
              <w:jc w:val="right"/>
              <w:rPr>
                <w:sz w:val="20"/>
              </w:rPr>
            </w:pPr>
            <w:r>
              <w:rPr>
                <w:sz w:val="20"/>
              </w:rPr>
              <w:t>210,137,</w:t>
            </w:r>
            <w:r w:rsidRPr="00B34608">
              <w:rPr>
                <w:sz w:val="20"/>
              </w:rPr>
              <w:t>568</w:t>
            </w:r>
          </w:p>
        </w:tc>
        <w:tc>
          <w:tcPr>
            <w:tcW w:w="1417" w:type="dxa"/>
            <w:vAlign w:val="center"/>
          </w:tcPr>
          <w:p w:rsidR="00D2569B" w:rsidRPr="00B34608" w:rsidRDefault="00D2569B" w:rsidP="001353EA">
            <w:pPr>
              <w:jc w:val="right"/>
              <w:rPr>
                <w:sz w:val="20"/>
              </w:rPr>
            </w:pPr>
            <w:r>
              <w:rPr>
                <w:sz w:val="20"/>
              </w:rPr>
              <w:t>587,</w:t>
            </w:r>
            <w:r w:rsidRPr="00B34608">
              <w:rPr>
                <w:sz w:val="20"/>
              </w:rPr>
              <w:t>807</w:t>
            </w:r>
          </w:p>
        </w:tc>
        <w:tc>
          <w:tcPr>
            <w:tcW w:w="1276" w:type="dxa"/>
            <w:vAlign w:val="center"/>
          </w:tcPr>
          <w:p w:rsidR="00D2569B" w:rsidRPr="00B34608" w:rsidRDefault="00D2569B" w:rsidP="001353EA">
            <w:pPr>
              <w:jc w:val="right"/>
              <w:rPr>
                <w:sz w:val="20"/>
              </w:rPr>
            </w:pPr>
            <w:r>
              <w:rPr>
                <w:sz w:val="20"/>
              </w:rPr>
              <w:t>206,484,</w:t>
            </w:r>
            <w:r w:rsidRPr="00B34608">
              <w:rPr>
                <w:sz w:val="20"/>
              </w:rPr>
              <w:t>768</w:t>
            </w:r>
          </w:p>
        </w:tc>
        <w:tc>
          <w:tcPr>
            <w:tcW w:w="1418" w:type="dxa"/>
            <w:vAlign w:val="center"/>
          </w:tcPr>
          <w:p w:rsidR="00D2569B" w:rsidRPr="00B34608" w:rsidRDefault="00D2569B" w:rsidP="001353EA">
            <w:pPr>
              <w:jc w:val="right"/>
              <w:rPr>
                <w:sz w:val="20"/>
              </w:rPr>
            </w:pPr>
            <w:r>
              <w:rPr>
                <w:sz w:val="20"/>
              </w:rPr>
              <w:t>587,</w:t>
            </w:r>
            <w:r w:rsidRPr="00B34608">
              <w:rPr>
                <w:sz w:val="20"/>
              </w:rPr>
              <w:t>807</w:t>
            </w:r>
          </w:p>
        </w:tc>
      </w:tr>
      <w:tr w:rsidR="00D2569B" w:rsidRPr="00B34608" w:rsidTr="00BA5A6C">
        <w:tc>
          <w:tcPr>
            <w:tcW w:w="567" w:type="dxa"/>
          </w:tcPr>
          <w:p w:rsidR="00D2569B" w:rsidRPr="00B34608" w:rsidRDefault="00D2569B" w:rsidP="001353EA">
            <w:pPr>
              <w:rPr>
                <w:color w:val="000000"/>
                <w:sz w:val="20"/>
              </w:rPr>
            </w:pPr>
            <w:r w:rsidRPr="00B34608">
              <w:rPr>
                <w:color w:val="000000"/>
                <w:sz w:val="20"/>
              </w:rPr>
              <w:t>3.</w:t>
            </w:r>
          </w:p>
        </w:tc>
        <w:tc>
          <w:tcPr>
            <w:tcW w:w="3261" w:type="dxa"/>
            <w:vAlign w:val="center"/>
          </w:tcPr>
          <w:p w:rsidR="00D2569B" w:rsidRPr="00B34608" w:rsidRDefault="00D2569B" w:rsidP="001353EA">
            <w:pPr>
              <w:rPr>
                <w:sz w:val="20"/>
              </w:rPr>
            </w:pPr>
            <w:r w:rsidRPr="00B34608">
              <w:rPr>
                <w:color w:val="000000"/>
                <w:sz w:val="20"/>
              </w:rPr>
              <w:t>B</w:t>
            </w:r>
            <w:r>
              <w:rPr>
                <w:color w:val="000000"/>
                <w:sz w:val="20"/>
              </w:rPr>
              <w:t>CC CU</w:t>
            </w:r>
            <w:r w:rsidRPr="00B34608">
              <w:rPr>
                <w:color w:val="000000"/>
                <w:sz w:val="20"/>
              </w:rPr>
              <w:t xml:space="preserve"> </w:t>
            </w:r>
            <w:proofErr w:type="spellStart"/>
            <w:r w:rsidRPr="00B34608">
              <w:rPr>
                <w:color w:val="000000"/>
                <w:sz w:val="20"/>
              </w:rPr>
              <w:t>Naftininkų</w:t>
            </w:r>
            <w:proofErr w:type="spellEnd"/>
            <w:r w:rsidRPr="00B34608">
              <w:rPr>
                <w:color w:val="000000"/>
                <w:sz w:val="20"/>
              </w:rPr>
              <w:t xml:space="preserve"> </w:t>
            </w:r>
            <w:proofErr w:type="spellStart"/>
            <w:r w:rsidRPr="00B34608">
              <w:rPr>
                <w:color w:val="000000"/>
                <w:sz w:val="20"/>
              </w:rPr>
              <w:t>investicijos</w:t>
            </w:r>
            <w:proofErr w:type="spellEnd"/>
          </w:p>
        </w:tc>
        <w:tc>
          <w:tcPr>
            <w:tcW w:w="1559" w:type="dxa"/>
            <w:vAlign w:val="center"/>
          </w:tcPr>
          <w:p w:rsidR="00D2569B" w:rsidRPr="00B34608" w:rsidRDefault="00D2569B" w:rsidP="001353EA">
            <w:pPr>
              <w:jc w:val="right"/>
              <w:rPr>
                <w:sz w:val="20"/>
              </w:rPr>
            </w:pPr>
            <w:r>
              <w:rPr>
                <w:sz w:val="20"/>
              </w:rPr>
              <w:t>1,</w:t>
            </w:r>
            <w:r w:rsidRPr="00B34608">
              <w:rPr>
                <w:sz w:val="20"/>
              </w:rPr>
              <w:t>665</w:t>
            </w:r>
            <w:r>
              <w:rPr>
                <w:sz w:val="20"/>
              </w:rPr>
              <w:t>,</w:t>
            </w:r>
            <w:r w:rsidRPr="00B34608">
              <w:rPr>
                <w:sz w:val="20"/>
              </w:rPr>
              <w:t>667</w:t>
            </w:r>
          </w:p>
        </w:tc>
        <w:tc>
          <w:tcPr>
            <w:tcW w:w="1417" w:type="dxa"/>
            <w:vAlign w:val="center"/>
          </w:tcPr>
          <w:p w:rsidR="00D2569B" w:rsidRPr="00B34608" w:rsidRDefault="00D2569B" w:rsidP="001353EA">
            <w:pPr>
              <w:jc w:val="right"/>
              <w:rPr>
                <w:sz w:val="20"/>
              </w:rPr>
            </w:pPr>
            <w:r w:rsidRPr="00B34608">
              <w:rPr>
                <w:sz w:val="20"/>
              </w:rPr>
              <w:t>569</w:t>
            </w:r>
          </w:p>
        </w:tc>
        <w:tc>
          <w:tcPr>
            <w:tcW w:w="1276" w:type="dxa"/>
            <w:vAlign w:val="center"/>
          </w:tcPr>
          <w:p w:rsidR="00D2569B" w:rsidRPr="00B34608" w:rsidRDefault="00D2569B" w:rsidP="001353EA">
            <w:pPr>
              <w:jc w:val="right"/>
              <w:rPr>
                <w:sz w:val="20"/>
              </w:rPr>
            </w:pPr>
            <w:r>
              <w:rPr>
                <w:sz w:val="20"/>
              </w:rPr>
              <w:t>2,</w:t>
            </w:r>
            <w:r w:rsidRPr="00B34608">
              <w:rPr>
                <w:sz w:val="20"/>
              </w:rPr>
              <w:t>384</w:t>
            </w:r>
            <w:r>
              <w:rPr>
                <w:sz w:val="20"/>
              </w:rPr>
              <w:t>,</w:t>
            </w:r>
            <w:r w:rsidRPr="00B34608">
              <w:rPr>
                <w:sz w:val="20"/>
              </w:rPr>
              <w:t>167</w:t>
            </w:r>
          </w:p>
        </w:tc>
        <w:tc>
          <w:tcPr>
            <w:tcW w:w="1418" w:type="dxa"/>
            <w:vAlign w:val="center"/>
          </w:tcPr>
          <w:p w:rsidR="00D2569B" w:rsidRPr="00B34608" w:rsidRDefault="00D2569B" w:rsidP="001353EA">
            <w:pPr>
              <w:jc w:val="right"/>
              <w:rPr>
                <w:sz w:val="20"/>
              </w:rPr>
            </w:pPr>
            <w:r w:rsidRPr="00B34608">
              <w:rPr>
                <w:sz w:val="20"/>
              </w:rPr>
              <w:t>569</w:t>
            </w:r>
          </w:p>
        </w:tc>
      </w:tr>
      <w:tr w:rsidR="00D2569B" w:rsidRPr="00B34608" w:rsidTr="00BA5A6C">
        <w:tc>
          <w:tcPr>
            <w:tcW w:w="567" w:type="dxa"/>
          </w:tcPr>
          <w:p w:rsidR="00D2569B" w:rsidRPr="00B34608" w:rsidRDefault="00D2569B" w:rsidP="001353EA">
            <w:pPr>
              <w:rPr>
                <w:color w:val="000000"/>
                <w:sz w:val="20"/>
              </w:rPr>
            </w:pPr>
            <w:r w:rsidRPr="00B34608">
              <w:rPr>
                <w:color w:val="000000"/>
                <w:sz w:val="20"/>
              </w:rPr>
              <w:t>4.</w:t>
            </w:r>
          </w:p>
        </w:tc>
        <w:tc>
          <w:tcPr>
            <w:tcW w:w="3261" w:type="dxa"/>
            <w:vAlign w:val="center"/>
          </w:tcPr>
          <w:p w:rsidR="00D2569B" w:rsidRPr="00B34608" w:rsidRDefault="00D2569B" w:rsidP="001353EA">
            <w:pPr>
              <w:rPr>
                <w:sz w:val="20"/>
              </w:rPr>
            </w:pPr>
            <w:r w:rsidRPr="00B34608">
              <w:rPr>
                <w:color w:val="000000"/>
                <w:sz w:val="20"/>
              </w:rPr>
              <w:t>B</w:t>
            </w:r>
            <w:r>
              <w:rPr>
                <w:color w:val="000000"/>
                <w:sz w:val="20"/>
              </w:rPr>
              <w:t>CC CU</w:t>
            </w:r>
            <w:r w:rsidRPr="00B34608">
              <w:rPr>
                <w:color w:val="000000"/>
                <w:sz w:val="20"/>
              </w:rPr>
              <w:t xml:space="preserve"> </w:t>
            </w:r>
            <w:proofErr w:type="spellStart"/>
            <w:r w:rsidRPr="00B34608">
              <w:rPr>
                <w:color w:val="000000"/>
                <w:sz w:val="20"/>
              </w:rPr>
              <w:t>Švyturio</w:t>
            </w:r>
            <w:proofErr w:type="spellEnd"/>
            <w:r w:rsidRPr="00B34608">
              <w:rPr>
                <w:color w:val="000000"/>
                <w:sz w:val="20"/>
              </w:rPr>
              <w:t xml:space="preserve"> </w:t>
            </w:r>
            <w:proofErr w:type="spellStart"/>
            <w:r w:rsidRPr="00B34608">
              <w:rPr>
                <w:color w:val="000000"/>
                <w:sz w:val="20"/>
              </w:rPr>
              <w:t>taupomoji</w:t>
            </w:r>
            <w:proofErr w:type="spellEnd"/>
            <w:r w:rsidRPr="00B34608">
              <w:rPr>
                <w:color w:val="000000"/>
                <w:sz w:val="20"/>
              </w:rPr>
              <w:t xml:space="preserve"> </w:t>
            </w:r>
            <w:proofErr w:type="spellStart"/>
            <w:r w:rsidRPr="00B34608">
              <w:rPr>
                <w:color w:val="000000"/>
                <w:sz w:val="20"/>
              </w:rPr>
              <w:t>kasa</w:t>
            </w:r>
            <w:proofErr w:type="spellEnd"/>
          </w:p>
        </w:tc>
        <w:tc>
          <w:tcPr>
            <w:tcW w:w="1559" w:type="dxa"/>
            <w:vAlign w:val="center"/>
          </w:tcPr>
          <w:p w:rsidR="00D2569B" w:rsidRPr="00B34608" w:rsidRDefault="00D2569B" w:rsidP="00E114AE">
            <w:pPr>
              <w:jc w:val="right"/>
              <w:rPr>
                <w:sz w:val="20"/>
              </w:rPr>
            </w:pPr>
            <w:r>
              <w:rPr>
                <w:sz w:val="20"/>
              </w:rPr>
              <w:t>1,780,</w:t>
            </w:r>
            <w:r w:rsidRPr="00B34608">
              <w:rPr>
                <w:sz w:val="20"/>
              </w:rPr>
              <w:t>770</w:t>
            </w:r>
          </w:p>
        </w:tc>
        <w:tc>
          <w:tcPr>
            <w:tcW w:w="1417" w:type="dxa"/>
            <w:vAlign w:val="center"/>
          </w:tcPr>
          <w:p w:rsidR="00D2569B" w:rsidRPr="00B34608" w:rsidRDefault="00D2569B" w:rsidP="001353EA">
            <w:pPr>
              <w:jc w:val="right"/>
              <w:rPr>
                <w:sz w:val="20"/>
              </w:rPr>
            </w:pPr>
            <w:r w:rsidRPr="00B34608">
              <w:rPr>
                <w:sz w:val="20"/>
              </w:rPr>
              <w:t>677</w:t>
            </w:r>
          </w:p>
        </w:tc>
        <w:tc>
          <w:tcPr>
            <w:tcW w:w="1276" w:type="dxa"/>
            <w:vAlign w:val="center"/>
          </w:tcPr>
          <w:p w:rsidR="00D2569B" w:rsidRPr="00B34608" w:rsidRDefault="00D2569B" w:rsidP="008526D3">
            <w:pPr>
              <w:jc w:val="right"/>
              <w:rPr>
                <w:sz w:val="20"/>
              </w:rPr>
            </w:pPr>
            <w:r>
              <w:rPr>
                <w:sz w:val="20"/>
              </w:rPr>
              <w:t>1,942,</w:t>
            </w:r>
            <w:r w:rsidRPr="00B34608">
              <w:rPr>
                <w:sz w:val="20"/>
              </w:rPr>
              <w:t>770</w:t>
            </w:r>
          </w:p>
        </w:tc>
        <w:tc>
          <w:tcPr>
            <w:tcW w:w="1418" w:type="dxa"/>
            <w:vAlign w:val="center"/>
          </w:tcPr>
          <w:p w:rsidR="00D2569B" w:rsidRPr="00B34608" w:rsidRDefault="00D2569B" w:rsidP="001353EA">
            <w:pPr>
              <w:jc w:val="right"/>
              <w:rPr>
                <w:sz w:val="20"/>
              </w:rPr>
            </w:pPr>
            <w:r w:rsidRPr="00B34608">
              <w:rPr>
                <w:sz w:val="20"/>
              </w:rPr>
              <w:t>677</w:t>
            </w:r>
          </w:p>
        </w:tc>
      </w:tr>
      <w:tr w:rsidR="00D2569B" w:rsidRPr="00B34608" w:rsidTr="00BA5A6C">
        <w:tc>
          <w:tcPr>
            <w:tcW w:w="567" w:type="dxa"/>
          </w:tcPr>
          <w:p w:rsidR="00D2569B" w:rsidRPr="00B34608" w:rsidRDefault="00D2569B" w:rsidP="001353EA">
            <w:pPr>
              <w:rPr>
                <w:color w:val="000000"/>
                <w:sz w:val="20"/>
              </w:rPr>
            </w:pPr>
            <w:r w:rsidRPr="00B34608">
              <w:rPr>
                <w:color w:val="000000"/>
                <w:sz w:val="20"/>
              </w:rPr>
              <w:t>5.</w:t>
            </w:r>
          </w:p>
        </w:tc>
        <w:tc>
          <w:tcPr>
            <w:tcW w:w="3261" w:type="dxa"/>
            <w:vAlign w:val="center"/>
          </w:tcPr>
          <w:p w:rsidR="00D2569B" w:rsidRPr="00B34608" w:rsidRDefault="00D2569B" w:rsidP="001353EA">
            <w:pPr>
              <w:rPr>
                <w:sz w:val="20"/>
              </w:rPr>
            </w:pPr>
            <w:r w:rsidRPr="00B34608">
              <w:rPr>
                <w:color w:val="000000"/>
                <w:sz w:val="20"/>
              </w:rPr>
              <w:t>B</w:t>
            </w:r>
            <w:r>
              <w:rPr>
                <w:color w:val="000000"/>
                <w:sz w:val="20"/>
              </w:rPr>
              <w:t>CC CU</w:t>
            </w:r>
            <w:r w:rsidRPr="00B34608">
              <w:rPr>
                <w:color w:val="000000"/>
                <w:sz w:val="20"/>
              </w:rPr>
              <w:t xml:space="preserve"> </w:t>
            </w:r>
            <w:proofErr w:type="spellStart"/>
            <w:r w:rsidRPr="00B34608">
              <w:rPr>
                <w:color w:val="000000"/>
                <w:sz w:val="20"/>
              </w:rPr>
              <w:t>Laikinosios</w:t>
            </w:r>
            <w:proofErr w:type="spellEnd"/>
            <w:r w:rsidRPr="00B34608">
              <w:rPr>
                <w:color w:val="000000"/>
                <w:sz w:val="20"/>
              </w:rPr>
              <w:t xml:space="preserve"> </w:t>
            </w:r>
            <w:proofErr w:type="spellStart"/>
            <w:r w:rsidRPr="00B34608">
              <w:rPr>
                <w:color w:val="000000"/>
                <w:sz w:val="20"/>
              </w:rPr>
              <w:t>sostinės</w:t>
            </w:r>
            <w:proofErr w:type="spellEnd"/>
            <w:r w:rsidRPr="00B34608">
              <w:rPr>
                <w:color w:val="000000"/>
                <w:sz w:val="20"/>
              </w:rPr>
              <w:t xml:space="preserve"> </w:t>
            </w:r>
            <w:proofErr w:type="spellStart"/>
            <w:r w:rsidRPr="00B34608">
              <w:rPr>
                <w:color w:val="000000"/>
                <w:sz w:val="20"/>
              </w:rPr>
              <w:t>kreditas</w:t>
            </w:r>
            <w:proofErr w:type="spellEnd"/>
          </w:p>
        </w:tc>
        <w:tc>
          <w:tcPr>
            <w:tcW w:w="1559" w:type="dxa"/>
            <w:vAlign w:val="center"/>
          </w:tcPr>
          <w:p w:rsidR="00D2569B" w:rsidRPr="00B34608" w:rsidRDefault="00D2569B" w:rsidP="001353EA">
            <w:pPr>
              <w:jc w:val="right"/>
              <w:rPr>
                <w:sz w:val="20"/>
              </w:rPr>
            </w:pPr>
            <w:r>
              <w:rPr>
                <w:sz w:val="20"/>
              </w:rPr>
              <w:t>4,</w:t>
            </w:r>
            <w:r w:rsidRPr="00B34608">
              <w:rPr>
                <w:sz w:val="20"/>
              </w:rPr>
              <w:t>490</w:t>
            </w:r>
            <w:r>
              <w:rPr>
                <w:sz w:val="20"/>
              </w:rPr>
              <w:t>,</w:t>
            </w:r>
            <w:r w:rsidRPr="00B34608">
              <w:rPr>
                <w:sz w:val="20"/>
              </w:rPr>
              <w:t>194</w:t>
            </w:r>
          </w:p>
        </w:tc>
        <w:tc>
          <w:tcPr>
            <w:tcW w:w="1417" w:type="dxa"/>
            <w:vAlign w:val="center"/>
          </w:tcPr>
          <w:p w:rsidR="00D2569B" w:rsidRPr="00B34608" w:rsidRDefault="00D2569B" w:rsidP="001353EA">
            <w:pPr>
              <w:jc w:val="right"/>
              <w:rPr>
                <w:sz w:val="20"/>
              </w:rPr>
            </w:pPr>
            <w:r w:rsidRPr="00B34608">
              <w:rPr>
                <w:sz w:val="20"/>
              </w:rPr>
              <w:t>-</w:t>
            </w:r>
          </w:p>
        </w:tc>
        <w:tc>
          <w:tcPr>
            <w:tcW w:w="1276" w:type="dxa"/>
            <w:vAlign w:val="center"/>
          </w:tcPr>
          <w:p w:rsidR="00D2569B" w:rsidRPr="00B34608" w:rsidRDefault="00D2569B" w:rsidP="008526D3">
            <w:pPr>
              <w:jc w:val="right"/>
              <w:rPr>
                <w:sz w:val="20"/>
              </w:rPr>
            </w:pPr>
            <w:r w:rsidRPr="00B34608">
              <w:rPr>
                <w:sz w:val="20"/>
              </w:rPr>
              <w:t>4</w:t>
            </w:r>
            <w:r>
              <w:rPr>
                <w:sz w:val="20"/>
              </w:rPr>
              <w:t>,</w:t>
            </w:r>
            <w:r w:rsidRPr="00B34608">
              <w:rPr>
                <w:sz w:val="20"/>
              </w:rPr>
              <w:t>426</w:t>
            </w:r>
            <w:r>
              <w:rPr>
                <w:sz w:val="20"/>
              </w:rPr>
              <w:t>,</w:t>
            </w:r>
            <w:r w:rsidRPr="00B34608">
              <w:rPr>
                <w:sz w:val="20"/>
              </w:rPr>
              <w:t>194</w:t>
            </w:r>
          </w:p>
        </w:tc>
        <w:tc>
          <w:tcPr>
            <w:tcW w:w="1418" w:type="dxa"/>
            <w:vAlign w:val="center"/>
          </w:tcPr>
          <w:p w:rsidR="00D2569B" w:rsidRPr="00B34608" w:rsidRDefault="00D2569B" w:rsidP="001353EA">
            <w:pPr>
              <w:jc w:val="right"/>
              <w:rPr>
                <w:sz w:val="20"/>
              </w:rPr>
            </w:pPr>
          </w:p>
        </w:tc>
      </w:tr>
      <w:tr w:rsidR="00D2569B" w:rsidRPr="00B34608" w:rsidTr="00BA5A6C">
        <w:tc>
          <w:tcPr>
            <w:tcW w:w="567" w:type="dxa"/>
          </w:tcPr>
          <w:p w:rsidR="00D2569B" w:rsidRPr="00B34608" w:rsidRDefault="00D2569B" w:rsidP="001353EA">
            <w:pPr>
              <w:rPr>
                <w:color w:val="000000"/>
                <w:sz w:val="20"/>
              </w:rPr>
            </w:pPr>
            <w:r w:rsidRPr="00B34608">
              <w:rPr>
                <w:color w:val="000000"/>
                <w:sz w:val="20"/>
              </w:rPr>
              <w:t>6.</w:t>
            </w:r>
          </w:p>
        </w:tc>
        <w:tc>
          <w:tcPr>
            <w:tcW w:w="3261" w:type="dxa"/>
            <w:vAlign w:val="center"/>
          </w:tcPr>
          <w:p w:rsidR="00D2569B" w:rsidRPr="00B34608" w:rsidRDefault="00D2569B" w:rsidP="001353EA">
            <w:pPr>
              <w:rPr>
                <w:sz w:val="20"/>
              </w:rPr>
            </w:pPr>
            <w:r w:rsidRPr="00B34608">
              <w:rPr>
                <w:color w:val="000000"/>
                <w:sz w:val="20"/>
              </w:rPr>
              <w:t>B</w:t>
            </w:r>
            <w:r>
              <w:rPr>
                <w:color w:val="000000"/>
                <w:sz w:val="20"/>
              </w:rPr>
              <w:t>CC</w:t>
            </w:r>
            <w:r w:rsidRPr="00B34608">
              <w:rPr>
                <w:color w:val="000000"/>
                <w:sz w:val="20"/>
              </w:rPr>
              <w:t xml:space="preserve"> </w:t>
            </w:r>
            <w:proofErr w:type="spellStart"/>
            <w:r w:rsidRPr="00B34608">
              <w:rPr>
                <w:color w:val="000000"/>
                <w:sz w:val="20"/>
              </w:rPr>
              <w:t>Nacionalinės</w:t>
            </w:r>
            <w:proofErr w:type="spellEnd"/>
            <w:r w:rsidRPr="00B34608">
              <w:rPr>
                <w:color w:val="000000"/>
                <w:sz w:val="20"/>
              </w:rPr>
              <w:t xml:space="preserve"> </w:t>
            </w:r>
            <w:proofErr w:type="spellStart"/>
            <w:r w:rsidRPr="00B34608">
              <w:rPr>
                <w:color w:val="000000"/>
                <w:sz w:val="20"/>
              </w:rPr>
              <w:t>kredito</w:t>
            </w:r>
            <w:proofErr w:type="spellEnd"/>
            <w:r w:rsidRPr="00B34608">
              <w:rPr>
                <w:color w:val="000000"/>
                <w:sz w:val="20"/>
              </w:rPr>
              <w:t xml:space="preserve"> </w:t>
            </w:r>
            <w:proofErr w:type="spellStart"/>
            <w:r w:rsidRPr="00B34608">
              <w:rPr>
                <w:color w:val="000000"/>
                <w:sz w:val="20"/>
              </w:rPr>
              <w:t>unija</w:t>
            </w:r>
            <w:proofErr w:type="spellEnd"/>
          </w:p>
        </w:tc>
        <w:tc>
          <w:tcPr>
            <w:tcW w:w="1559" w:type="dxa"/>
            <w:vAlign w:val="center"/>
          </w:tcPr>
          <w:p w:rsidR="00D2569B" w:rsidRPr="00B34608" w:rsidRDefault="00D2569B" w:rsidP="00E114AE">
            <w:pPr>
              <w:jc w:val="right"/>
              <w:rPr>
                <w:sz w:val="20"/>
              </w:rPr>
            </w:pPr>
            <w:r>
              <w:rPr>
                <w:sz w:val="20"/>
              </w:rPr>
              <w:t>16,605,</w:t>
            </w:r>
            <w:r w:rsidRPr="00B34608">
              <w:rPr>
                <w:sz w:val="20"/>
              </w:rPr>
              <w:t>930</w:t>
            </w:r>
          </w:p>
        </w:tc>
        <w:tc>
          <w:tcPr>
            <w:tcW w:w="1417" w:type="dxa"/>
            <w:vAlign w:val="center"/>
          </w:tcPr>
          <w:p w:rsidR="00D2569B" w:rsidRPr="00B34608" w:rsidRDefault="00D2569B" w:rsidP="001353EA">
            <w:pPr>
              <w:jc w:val="right"/>
              <w:rPr>
                <w:sz w:val="20"/>
              </w:rPr>
            </w:pPr>
            <w:r w:rsidRPr="00B34608">
              <w:rPr>
                <w:sz w:val="20"/>
              </w:rPr>
              <w:t>-</w:t>
            </w:r>
          </w:p>
        </w:tc>
        <w:tc>
          <w:tcPr>
            <w:tcW w:w="1276" w:type="dxa"/>
            <w:vAlign w:val="center"/>
          </w:tcPr>
          <w:p w:rsidR="00D2569B" w:rsidRPr="00B34608" w:rsidRDefault="00D2569B" w:rsidP="001353EA">
            <w:pPr>
              <w:jc w:val="right"/>
              <w:rPr>
                <w:sz w:val="20"/>
              </w:rPr>
            </w:pPr>
            <w:r>
              <w:rPr>
                <w:sz w:val="20"/>
              </w:rPr>
              <w:t>17,</w:t>
            </w:r>
            <w:r w:rsidRPr="00B34608">
              <w:rPr>
                <w:sz w:val="20"/>
              </w:rPr>
              <w:t>519.</w:t>
            </w:r>
            <w:r>
              <w:rPr>
                <w:sz w:val="20"/>
              </w:rPr>
              <w:t>,</w:t>
            </w:r>
            <w:r w:rsidRPr="00B34608">
              <w:rPr>
                <w:sz w:val="20"/>
              </w:rPr>
              <w:t>931</w:t>
            </w:r>
          </w:p>
        </w:tc>
        <w:tc>
          <w:tcPr>
            <w:tcW w:w="1418" w:type="dxa"/>
            <w:vAlign w:val="center"/>
          </w:tcPr>
          <w:p w:rsidR="00D2569B" w:rsidRPr="00B34608" w:rsidRDefault="00D2569B" w:rsidP="001353EA">
            <w:pPr>
              <w:jc w:val="right"/>
              <w:rPr>
                <w:sz w:val="20"/>
              </w:rPr>
            </w:pPr>
          </w:p>
        </w:tc>
      </w:tr>
      <w:tr w:rsidR="00D2569B" w:rsidRPr="00B34608" w:rsidTr="00BA5A6C">
        <w:tc>
          <w:tcPr>
            <w:tcW w:w="567" w:type="dxa"/>
          </w:tcPr>
          <w:p w:rsidR="00D2569B" w:rsidRPr="00B34608" w:rsidRDefault="00D2569B" w:rsidP="001353EA">
            <w:pPr>
              <w:rPr>
                <w:sz w:val="20"/>
              </w:rPr>
            </w:pPr>
            <w:r w:rsidRPr="00B34608">
              <w:rPr>
                <w:sz w:val="20"/>
              </w:rPr>
              <w:t>7.</w:t>
            </w:r>
          </w:p>
        </w:tc>
        <w:tc>
          <w:tcPr>
            <w:tcW w:w="3261" w:type="dxa"/>
            <w:vAlign w:val="center"/>
          </w:tcPr>
          <w:p w:rsidR="00D2569B" w:rsidRPr="00B34608" w:rsidRDefault="00D2569B" w:rsidP="001353EA">
            <w:pPr>
              <w:rPr>
                <w:sz w:val="20"/>
              </w:rPr>
            </w:pPr>
            <w:r>
              <w:rPr>
                <w:sz w:val="20"/>
              </w:rPr>
              <w:t>BCC</w:t>
            </w:r>
            <w:r w:rsidRPr="00B34608">
              <w:rPr>
                <w:sz w:val="20"/>
              </w:rPr>
              <w:t xml:space="preserve"> Vilniaus </w:t>
            </w:r>
            <w:proofErr w:type="spellStart"/>
            <w:r w:rsidRPr="00B34608">
              <w:rPr>
                <w:sz w:val="20"/>
              </w:rPr>
              <w:t>taupomoji</w:t>
            </w:r>
            <w:proofErr w:type="spellEnd"/>
            <w:r w:rsidRPr="00B34608">
              <w:rPr>
                <w:sz w:val="20"/>
              </w:rPr>
              <w:t xml:space="preserve"> </w:t>
            </w:r>
            <w:proofErr w:type="spellStart"/>
            <w:r w:rsidRPr="00B34608">
              <w:rPr>
                <w:sz w:val="20"/>
              </w:rPr>
              <w:t>kasa</w:t>
            </w:r>
            <w:proofErr w:type="spellEnd"/>
          </w:p>
        </w:tc>
        <w:tc>
          <w:tcPr>
            <w:tcW w:w="1559" w:type="dxa"/>
            <w:vAlign w:val="center"/>
          </w:tcPr>
          <w:p w:rsidR="00D2569B" w:rsidRPr="00B34608" w:rsidRDefault="00D2569B" w:rsidP="00E114AE">
            <w:pPr>
              <w:jc w:val="right"/>
              <w:rPr>
                <w:sz w:val="20"/>
              </w:rPr>
            </w:pPr>
            <w:r>
              <w:rPr>
                <w:sz w:val="20"/>
              </w:rPr>
              <w:t>22,</w:t>
            </w:r>
            <w:r w:rsidRPr="00B34608">
              <w:rPr>
                <w:sz w:val="20"/>
              </w:rPr>
              <w:t>415</w:t>
            </w:r>
            <w:r>
              <w:rPr>
                <w:sz w:val="20"/>
              </w:rPr>
              <w:t>,</w:t>
            </w:r>
            <w:r w:rsidRPr="00B34608">
              <w:rPr>
                <w:sz w:val="20"/>
              </w:rPr>
              <w:t>660</w:t>
            </w:r>
          </w:p>
        </w:tc>
        <w:tc>
          <w:tcPr>
            <w:tcW w:w="1417" w:type="dxa"/>
            <w:vAlign w:val="center"/>
          </w:tcPr>
          <w:p w:rsidR="00D2569B" w:rsidRPr="00B34608" w:rsidRDefault="00D2569B" w:rsidP="001353EA">
            <w:pPr>
              <w:jc w:val="right"/>
              <w:rPr>
                <w:sz w:val="20"/>
              </w:rPr>
            </w:pPr>
            <w:r w:rsidRPr="00B34608">
              <w:rPr>
                <w:sz w:val="20"/>
              </w:rPr>
              <w:t>-</w:t>
            </w:r>
          </w:p>
        </w:tc>
        <w:tc>
          <w:tcPr>
            <w:tcW w:w="1276" w:type="dxa"/>
            <w:vAlign w:val="center"/>
          </w:tcPr>
          <w:p w:rsidR="00D2569B" w:rsidRPr="00B34608" w:rsidRDefault="00D2569B" w:rsidP="008526D3">
            <w:pPr>
              <w:jc w:val="right"/>
              <w:rPr>
                <w:sz w:val="20"/>
              </w:rPr>
            </w:pPr>
            <w:r w:rsidRPr="00B34608">
              <w:rPr>
                <w:sz w:val="20"/>
              </w:rPr>
              <w:t>30</w:t>
            </w:r>
            <w:r>
              <w:rPr>
                <w:sz w:val="20"/>
              </w:rPr>
              <w:t>,</w:t>
            </w:r>
            <w:r w:rsidRPr="00B34608">
              <w:rPr>
                <w:sz w:val="20"/>
              </w:rPr>
              <w:t>290</w:t>
            </w:r>
            <w:r>
              <w:rPr>
                <w:sz w:val="20"/>
              </w:rPr>
              <w:t>,</w:t>
            </w:r>
            <w:r w:rsidRPr="00B34608">
              <w:rPr>
                <w:sz w:val="20"/>
              </w:rPr>
              <w:t>260</w:t>
            </w:r>
          </w:p>
        </w:tc>
        <w:tc>
          <w:tcPr>
            <w:tcW w:w="1418" w:type="dxa"/>
            <w:vAlign w:val="center"/>
          </w:tcPr>
          <w:p w:rsidR="00D2569B" w:rsidRPr="00B34608" w:rsidRDefault="00D2569B" w:rsidP="001353EA">
            <w:pPr>
              <w:jc w:val="right"/>
              <w:rPr>
                <w:sz w:val="20"/>
              </w:rPr>
            </w:pPr>
          </w:p>
        </w:tc>
      </w:tr>
      <w:tr w:rsidR="00D2569B" w:rsidRPr="00B34608" w:rsidTr="00BA5A6C">
        <w:tc>
          <w:tcPr>
            <w:tcW w:w="567" w:type="dxa"/>
          </w:tcPr>
          <w:p w:rsidR="00D2569B" w:rsidRPr="00B34608" w:rsidRDefault="00D2569B" w:rsidP="001353EA">
            <w:pPr>
              <w:rPr>
                <w:sz w:val="20"/>
              </w:rPr>
            </w:pPr>
            <w:r w:rsidRPr="00B34608">
              <w:rPr>
                <w:sz w:val="20"/>
              </w:rPr>
              <w:t>8.</w:t>
            </w:r>
          </w:p>
        </w:tc>
        <w:tc>
          <w:tcPr>
            <w:tcW w:w="3261" w:type="dxa"/>
            <w:vAlign w:val="center"/>
          </w:tcPr>
          <w:p w:rsidR="00D2569B" w:rsidRPr="00B34608" w:rsidRDefault="00D2569B" w:rsidP="001353EA">
            <w:pPr>
              <w:rPr>
                <w:sz w:val="20"/>
              </w:rPr>
            </w:pPr>
            <w:r>
              <w:rPr>
                <w:sz w:val="20"/>
              </w:rPr>
              <w:t>BCC</w:t>
            </w:r>
            <w:r w:rsidRPr="00B34608">
              <w:rPr>
                <w:sz w:val="20"/>
              </w:rPr>
              <w:t xml:space="preserve"> Amber</w:t>
            </w:r>
          </w:p>
        </w:tc>
        <w:tc>
          <w:tcPr>
            <w:tcW w:w="1559" w:type="dxa"/>
            <w:vAlign w:val="center"/>
          </w:tcPr>
          <w:p w:rsidR="00D2569B" w:rsidRPr="00B34608" w:rsidRDefault="00D2569B" w:rsidP="001353EA">
            <w:pPr>
              <w:jc w:val="right"/>
              <w:rPr>
                <w:sz w:val="20"/>
              </w:rPr>
            </w:pPr>
            <w:r>
              <w:rPr>
                <w:sz w:val="20"/>
              </w:rPr>
              <w:t>4,966,</w:t>
            </w:r>
            <w:r w:rsidRPr="00B34608">
              <w:rPr>
                <w:sz w:val="20"/>
              </w:rPr>
              <w:t>678</w:t>
            </w:r>
          </w:p>
        </w:tc>
        <w:tc>
          <w:tcPr>
            <w:tcW w:w="1417" w:type="dxa"/>
            <w:vAlign w:val="center"/>
          </w:tcPr>
          <w:p w:rsidR="00D2569B" w:rsidRPr="00B34608" w:rsidRDefault="00D2569B" w:rsidP="001353EA">
            <w:pPr>
              <w:jc w:val="right"/>
              <w:rPr>
                <w:sz w:val="20"/>
              </w:rPr>
            </w:pPr>
            <w:r w:rsidRPr="00B34608">
              <w:rPr>
                <w:sz w:val="20"/>
              </w:rPr>
              <w:t>50</w:t>
            </w:r>
            <w:r>
              <w:rPr>
                <w:sz w:val="20"/>
              </w:rPr>
              <w:t>,</w:t>
            </w:r>
            <w:r w:rsidRPr="00B34608">
              <w:rPr>
                <w:sz w:val="20"/>
              </w:rPr>
              <w:t>453</w:t>
            </w:r>
          </w:p>
        </w:tc>
        <w:tc>
          <w:tcPr>
            <w:tcW w:w="1276" w:type="dxa"/>
            <w:vAlign w:val="center"/>
          </w:tcPr>
          <w:p w:rsidR="00D2569B" w:rsidRPr="00B34608" w:rsidRDefault="00D2569B" w:rsidP="001353EA">
            <w:pPr>
              <w:jc w:val="right"/>
              <w:rPr>
                <w:sz w:val="20"/>
              </w:rPr>
            </w:pPr>
            <w:r>
              <w:rPr>
                <w:sz w:val="20"/>
              </w:rPr>
              <w:t>10,966,</w:t>
            </w:r>
            <w:r w:rsidRPr="00B34608">
              <w:rPr>
                <w:sz w:val="20"/>
              </w:rPr>
              <w:t>678</w:t>
            </w:r>
          </w:p>
        </w:tc>
        <w:tc>
          <w:tcPr>
            <w:tcW w:w="1418" w:type="dxa"/>
            <w:vAlign w:val="center"/>
          </w:tcPr>
          <w:p w:rsidR="00D2569B" w:rsidRPr="00B34608" w:rsidRDefault="00D2569B" w:rsidP="001353EA">
            <w:pPr>
              <w:jc w:val="right"/>
              <w:rPr>
                <w:sz w:val="20"/>
              </w:rPr>
            </w:pPr>
            <w:r w:rsidRPr="00B34608">
              <w:rPr>
                <w:sz w:val="20"/>
              </w:rPr>
              <w:t>50</w:t>
            </w:r>
            <w:r>
              <w:rPr>
                <w:sz w:val="20"/>
              </w:rPr>
              <w:t>,</w:t>
            </w:r>
            <w:r w:rsidRPr="00B34608">
              <w:rPr>
                <w:sz w:val="20"/>
              </w:rPr>
              <w:t>453</w:t>
            </w:r>
          </w:p>
        </w:tc>
      </w:tr>
      <w:tr w:rsidR="00D2569B" w:rsidRPr="00B34608" w:rsidTr="00BA5A6C">
        <w:tc>
          <w:tcPr>
            <w:tcW w:w="567" w:type="dxa"/>
          </w:tcPr>
          <w:p w:rsidR="00D2569B" w:rsidRPr="00B34608" w:rsidRDefault="00D2569B" w:rsidP="001353EA">
            <w:pPr>
              <w:rPr>
                <w:sz w:val="20"/>
              </w:rPr>
            </w:pPr>
            <w:r w:rsidRPr="00B34608">
              <w:rPr>
                <w:sz w:val="20"/>
              </w:rPr>
              <w:t>9.</w:t>
            </w:r>
          </w:p>
        </w:tc>
        <w:tc>
          <w:tcPr>
            <w:tcW w:w="3261" w:type="dxa"/>
            <w:vAlign w:val="center"/>
          </w:tcPr>
          <w:p w:rsidR="00D2569B" w:rsidRPr="00B34608" w:rsidRDefault="00D2569B" w:rsidP="001353EA">
            <w:pPr>
              <w:rPr>
                <w:sz w:val="20"/>
              </w:rPr>
            </w:pPr>
            <w:r>
              <w:rPr>
                <w:sz w:val="20"/>
              </w:rPr>
              <w:t>BCC</w:t>
            </w:r>
            <w:r w:rsidRPr="00B34608">
              <w:rPr>
                <w:sz w:val="20"/>
              </w:rPr>
              <w:t xml:space="preserve"> </w:t>
            </w:r>
            <w:proofErr w:type="spellStart"/>
            <w:r w:rsidRPr="00B34608">
              <w:rPr>
                <w:sz w:val="20"/>
              </w:rPr>
              <w:t>Žemaitijos</w:t>
            </w:r>
            <w:proofErr w:type="spellEnd"/>
            <w:r w:rsidRPr="00B34608">
              <w:rPr>
                <w:sz w:val="20"/>
              </w:rPr>
              <w:t xml:space="preserve"> </w:t>
            </w:r>
            <w:proofErr w:type="spellStart"/>
            <w:r w:rsidRPr="00B34608">
              <w:rPr>
                <w:sz w:val="20"/>
              </w:rPr>
              <w:t>iždas</w:t>
            </w:r>
            <w:proofErr w:type="spellEnd"/>
          </w:p>
        </w:tc>
        <w:tc>
          <w:tcPr>
            <w:tcW w:w="1559" w:type="dxa"/>
            <w:vAlign w:val="center"/>
          </w:tcPr>
          <w:p w:rsidR="00D2569B" w:rsidRPr="00B34608" w:rsidRDefault="00D2569B" w:rsidP="00E114AE">
            <w:pPr>
              <w:jc w:val="right"/>
              <w:rPr>
                <w:sz w:val="20"/>
              </w:rPr>
            </w:pPr>
            <w:r w:rsidRPr="00B34608">
              <w:rPr>
                <w:sz w:val="20"/>
              </w:rPr>
              <w:t>438</w:t>
            </w:r>
            <w:r>
              <w:rPr>
                <w:sz w:val="20"/>
              </w:rPr>
              <w:t>,</w:t>
            </w:r>
            <w:r w:rsidRPr="00B34608">
              <w:rPr>
                <w:sz w:val="20"/>
              </w:rPr>
              <w:t>620</w:t>
            </w:r>
          </w:p>
        </w:tc>
        <w:tc>
          <w:tcPr>
            <w:tcW w:w="1417" w:type="dxa"/>
            <w:vAlign w:val="center"/>
          </w:tcPr>
          <w:p w:rsidR="00D2569B" w:rsidRPr="00B34608" w:rsidRDefault="00D2569B" w:rsidP="001353EA">
            <w:pPr>
              <w:jc w:val="right"/>
              <w:rPr>
                <w:sz w:val="20"/>
              </w:rPr>
            </w:pPr>
            <w:r>
              <w:rPr>
                <w:sz w:val="20"/>
              </w:rPr>
              <w:t>1,</w:t>
            </w:r>
            <w:r w:rsidRPr="00B34608">
              <w:rPr>
                <w:sz w:val="20"/>
              </w:rPr>
              <w:t>414</w:t>
            </w:r>
          </w:p>
        </w:tc>
        <w:tc>
          <w:tcPr>
            <w:tcW w:w="1276" w:type="dxa"/>
            <w:vAlign w:val="center"/>
          </w:tcPr>
          <w:p w:rsidR="00D2569B" w:rsidRPr="00B34608" w:rsidRDefault="00D2569B" w:rsidP="001353EA">
            <w:pPr>
              <w:jc w:val="right"/>
              <w:rPr>
                <w:sz w:val="20"/>
              </w:rPr>
            </w:pPr>
          </w:p>
        </w:tc>
        <w:tc>
          <w:tcPr>
            <w:tcW w:w="1418" w:type="dxa"/>
            <w:vAlign w:val="center"/>
          </w:tcPr>
          <w:p w:rsidR="00D2569B" w:rsidRPr="00B34608" w:rsidRDefault="00D2569B" w:rsidP="001353EA">
            <w:pPr>
              <w:jc w:val="right"/>
              <w:rPr>
                <w:sz w:val="20"/>
              </w:rPr>
            </w:pPr>
          </w:p>
        </w:tc>
      </w:tr>
      <w:tr w:rsidR="00D2569B" w:rsidRPr="00B34608" w:rsidTr="00BA5A6C">
        <w:tc>
          <w:tcPr>
            <w:tcW w:w="567" w:type="dxa"/>
          </w:tcPr>
          <w:p w:rsidR="00D2569B" w:rsidRPr="00B34608" w:rsidRDefault="00D2569B" w:rsidP="001353EA">
            <w:pPr>
              <w:rPr>
                <w:sz w:val="20"/>
              </w:rPr>
            </w:pPr>
            <w:r w:rsidRPr="00B34608">
              <w:rPr>
                <w:sz w:val="20"/>
              </w:rPr>
              <w:t>10.</w:t>
            </w:r>
          </w:p>
        </w:tc>
        <w:tc>
          <w:tcPr>
            <w:tcW w:w="3261" w:type="dxa"/>
            <w:vAlign w:val="center"/>
          </w:tcPr>
          <w:p w:rsidR="00D2569B" w:rsidRPr="00B34608" w:rsidRDefault="00D2569B" w:rsidP="001353EA">
            <w:pPr>
              <w:rPr>
                <w:sz w:val="20"/>
              </w:rPr>
            </w:pPr>
            <w:r>
              <w:rPr>
                <w:sz w:val="20"/>
              </w:rPr>
              <w:t>BCC</w:t>
            </w:r>
            <w:r w:rsidRPr="00B34608">
              <w:rPr>
                <w:sz w:val="20"/>
              </w:rPr>
              <w:t xml:space="preserve"> </w:t>
            </w:r>
            <w:proofErr w:type="spellStart"/>
            <w:r w:rsidRPr="00B34608">
              <w:rPr>
                <w:sz w:val="20"/>
              </w:rPr>
              <w:t>Pajūrio</w:t>
            </w:r>
            <w:proofErr w:type="spellEnd"/>
          </w:p>
        </w:tc>
        <w:tc>
          <w:tcPr>
            <w:tcW w:w="1559" w:type="dxa"/>
            <w:vAlign w:val="center"/>
          </w:tcPr>
          <w:p w:rsidR="00D2569B" w:rsidRPr="00B34608" w:rsidRDefault="00D2569B" w:rsidP="001353EA">
            <w:pPr>
              <w:jc w:val="right"/>
              <w:rPr>
                <w:sz w:val="20"/>
              </w:rPr>
            </w:pPr>
            <w:r>
              <w:rPr>
                <w:sz w:val="20"/>
              </w:rPr>
              <w:t>323,</w:t>
            </w:r>
            <w:r w:rsidRPr="00B34608">
              <w:rPr>
                <w:sz w:val="20"/>
              </w:rPr>
              <w:t>883</w:t>
            </w:r>
          </w:p>
        </w:tc>
        <w:tc>
          <w:tcPr>
            <w:tcW w:w="1417" w:type="dxa"/>
            <w:vAlign w:val="center"/>
          </w:tcPr>
          <w:p w:rsidR="00D2569B" w:rsidRPr="00B34608" w:rsidRDefault="00D2569B" w:rsidP="001353EA">
            <w:pPr>
              <w:jc w:val="right"/>
              <w:rPr>
                <w:sz w:val="20"/>
              </w:rPr>
            </w:pPr>
            <w:r w:rsidRPr="00B34608">
              <w:rPr>
                <w:sz w:val="20"/>
              </w:rPr>
              <w:t>2</w:t>
            </w:r>
            <w:r>
              <w:rPr>
                <w:sz w:val="20"/>
              </w:rPr>
              <w:t>,</w:t>
            </w:r>
            <w:r w:rsidRPr="00B34608">
              <w:rPr>
                <w:sz w:val="20"/>
              </w:rPr>
              <w:t>725</w:t>
            </w:r>
          </w:p>
        </w:tc>
        <w:tc>
          <w:tcPr>
            <w:tcW w:w="1276" w:type="dxa"/>
            <w:vAlign w:val="center"/>
          </w:tcPr>
          <w:p w:rsidR="00D2569B" w:rsidRPr="00B34608" w:rsidRDefault="00D2569B" w:rsidP="001353EA">
            <w:pPr>
              <w:jc w:val="right"/>
              <w:rPr>
                <w:sz w:val="20"/>
              </w:rPr>
            </w:pPr>
          </w:p>
        </w:tc>
        <w:tc>
          <w:tcPr>
            <w:tcW w:w="1418" w:type="dxa"/>
            <w:vAlign w:val="center"/>
          </w:tcPr>
          <w:p w:rsidR="00D2569B" w:rsidRPr="00B34608" w:rsidRDefault="00D2569B" w:rsidP="001353EA">
            <w:pPr>
              <w:jc w:val="right"/>
              <w:rPr>
                <w:sz w:val="20"/>
              </w:rPr>
            </w:pPr>
          </w:p>
        </w:tc>
      </w:tr>
      <w:tr w:rsidR="00D2569B" w:rsidRPr="00B34608" w:rsidTr="00BA5A6C">
        <w:tc>
          <w:tcPr>
            <w:tcW w:w="567" w:type="dxa"/>
          </w:tcPr>
          <w:p w:rsidR="00D2569B" w:rsidRPr="00B34608" w:rsidRDefault="00D2569B" w:rsidP="001353EA">
            <w:pPr>
              <w:rPr>
                <w:sz w:val="20"/>
              </w:rPr>
            </w:pPr>
            <w:r w:rsidRPr="00B34608">
              <w:rPr>
                <w:sz w:val="20"/>
              </w:rPr>
              <w:t>11.</w:t>
            </w:r>
          </w:p>
        </w:tc>
        <w:tc>
          <w:tcPr>
            <w:tcW w:w="3261" w:type="dxa"/>
            <w:vAlign w:val="center"/>
          </w:tcPr>
          <w:p w:rsidR="00D2569B" w:rsidRPr="00B34608" w:rsidRDefault="00D2569B" w:rsidP="001353EA">
            <w:pPr>
              <w:rPr>
                <w:sz w:val="20"/>
              </w:rPr>
            </w:pPr>
            <w:r>
              <w:rPr>
                <w:sz w:val="20"/>
              </w:rPr>
              <w:t>BCC</w:t>
            </w:r>
            <w:r w:rsidRPr="00B34608">
              <w:rPr>
                <w:sz w:val="20"/>
              </w:rPr>
              <w:t xml:space="preserve"> </w:t>
            </w:r>
            <w:proofErr w:type="spellStart"/>
            <w:r w:rsidRPr="00B34608">
              <w:rPr>
                <w:sz w:val="20"/>
              </w:rPr>
              <w:t>Namų</w:t>
            </w:r>
            <w:proofErr w:type="spellEnd"/>
          </w:p>
        </w:tc>
        <w:tc>
          <w:tcPr>
            <w:tcW w:w="1559" w:type="dxa"/>
            <w:vAlign w:val="center"/>
          </w:tcPr>
          <w:p w:rsidR="00D2569B" w:rsidRPr="00B34608" w:rsidRDefault="00D2569B" w:rsidP="001353EA">
            <w:pPr>
              <w:jc w:val="right"/>
              <w:rPr>
                <w:sz w:val="20"/>
              </w:rPr>
            </w:pPr>
            <w:r>
              <w:rPr>
                <w:sz w:val="20"/>
              </w:rPr>
              <w:t>681,</w:t>
            </w:r>
            <w:r w:rsidRPr="00B34608">
              <w:rPr>
                <w:sz w:val="20"/>
              </w:rPr>
              <w:t>273</w:t>
            </w:r>
          </w:p>
        </w:tc>
        <w:tc>
          <w:tcPr>
            <w:tcW w:w="1417" w:type="dxa"/>
            <w:vAlign w:val="center"/>
          </w:tcPr>
          <w:p w:rsidR="00D2569B" w:rsidRPr="00B34608" w:rsidRDefault="00D2569B" w:rsidP="00897A91">
            <w:pPr>
              <w:jc w:val="right"/>
              <w:rPr>
                <w:sz w:val="20"/>
              </w:rPr>
            </w:pPr>
            <w:r w:rsidRPr="00B34608">
              <w:rPr>
                <w:sz w:val="20"/>
              </w:rPr>
              <w:t>702</w:t>
            </w:r>
          </w:p>
        </w:tc>
        <w:tc>
          <w:tcPr>
            <w:tcW w:w="1276" w:type="dxa"/>
            <w:vAlign w:val="center"/>
          </w:tcPr>
          <w:p w:rsidR="00D2569B" w:rsidRPr="00B34608" w:rsidRDefault="00D2569B" w:rsidP="001353EA">
            <w:pPr>
              <w:jc w:val="right"/>
              <w:rPr>
                <w:sz w:val="20"/>
                <w:highlight w:val="yellow"/>
              </w:rPr>
            </w:pPr>
          </w:p>
        </w:tc>
        <w:tc>
          <w:tcPr>
            <w:tcW w:w="1418" w:type="dxa"/>
            <w:vAlign w:val="center"/>
          </w:tcPr>
          <w:p w:rsidR="00D2569B" w:rsidRPr="00B34608" w:rsidRDefault="00D2569B" w:rsidP="001353EA">
            <w:pPr>
              <w:jc w:val="right"/>
              <w:rPr>
                <w:sz w:val="20"/>
                <w:highlight w:val="yellow"/>
              </w:rPr>
            </w:pPr>
          </w:p>
        </w:tc>
      </w:tr>
      <w:tr w:rsidR="00D2569B" w:rsidRPr="00B34608" w:rsidTr="00BA5A6C">
        <w:tc>
          <w:tcPr>
            <w:tcW w:w="567" w:type="dxa"/>
          </w:tcPr>
          <w:p w:rsidR="00D2569B" w:rsidRPr="00B34608" w:rsidRDefault="00D2569B" w:rsidP="001353EA">
            <w:pPr>
              <w:rPr>
                <w:sz w:val="20"/>
              </w:rPr>
            </w:pPr>
            <w:r w:rsidRPr="00B34608">
              <w:rPr>
                <w:sz w:val="20"/>
              </w:rPr>
              <w:t>12.</w:t>
            </w:r>
          </w:p>
        </w:tc>
        <w:tc>
          <w:tcPr>
            <w:tcW w:w="3261" w:type="dxa"/>
            <w:vAlign w:val="center"/>
          </w:tcPr>
          <w:p w:rsidR="00D2569B" w:rsidRPr="00B34608" w:rsidRDefault="00D2569B" w:rsidP="001353EA">
            <w:pPr>
              <w:rPr>
                <w:sz w:val="20"/>
              </w:rPr>
            </w:pPr>
            <w:r>
              <w:rPr>
                <w:sz w:val="20"/>
              </w:rPr>
              <w:t>BCC</w:t>
            </w:r>
            <w:r w:rsidRPr="00B34608">
              <w:rPr>
                <w:sz w:val="20"/>
              </w:rPr>
              <w:t xml:space="preserve"> </w:t>
            </w:r>
            <w:proofErr w:type="spellStart"/>
            <w:r w:rsidRPr="00B34608">
              <w:rPr>
                <w:sz w:val="20"/>
              </w:rPr>
              <w:t>Baltija</w:t>
            </w:r>
            <w:proofErr w:type="spellEnd"/>
          </w:p>
        </w:tc>
        <w:tc>
          <w:tcPr>
            <w:tcW w:w="1559" w:type="dxa"/>
            <w:vAlign w:val="center"/>
          </w:tcPr>
          <w:p w:rsidR="00D2569B" w:rsidRPr="00B34608" w:rsidRDefault="00D2569B" w:rsidP="001353EA">
            <w:pPr>
              <w:jc w:val="right"/>
              <w:rPr>
                <w:sz w:val="20"/>
              </w:rPr>
            </w:pPr>
            <w:r>
              <w:rPr>
                <w:sz w:val="20"/>
              </w:rPr>
              <w:t>3,515,</w:t>
            </w:r>
            <w:r w:rsidRPr="00B34608">
              <w:rPr>
                <w:sz w:val="20"/>
              </w:rPr>
              <w:t>553</w:t>
            </w:r>
          </w:p>
        </w:tc>
        <w:tc>
          <w:tcPr>
            <w:tcW w:w="1417" w:type="dxa"/>
            <w:vAlign w:val="center"/>
          </w:tcPr>
          <w:p w:rsidR="00D2569B" w:rsidRPr="00B34608" w:rsidRDefault="00D2569B" w:rsidP="001353EA">
            <w:pPr>
              <w:jc w:val="right"/>
              <w:rPr>
                <w:sz w:val="20"/>
              </w:rPr>
            </w:pPr>
            <w:r>
              <w:rPr>
                <w:sz w:val="20"/>
              </w:rPr>
              <w:t>8,</w:t>
            </w:r>
            <w:r w:rsidRPr="00B34608">
              <w:rPr>
                <w:sz w:val="20"/>
              </w:rPr>
              <w:t>717</w:t>
            </w:r>
          </w:p>
        </w:tc>
        <w:tc>
          <w:tcPr>
            <w:tcW w:w="1276" w:type="dxa"/>
            <w:vAlign w:val="center"/>
          </w:tcPr>
          <w:p w:rsidR="00D2569B" w:rsidRPr="00B34608" w:rsidRDefault="00D2569B" w:rsidP="001353EA">
            <w:pPr>
              <w:jc w:val="right"/>
              <w:rPr>
                <w:sz w:val="20"/>
                <w:highlight w:val="yellow"/>
              </w:rPr>
            </w:pPr>
          </w:p>
        </w:tc>
        <w:tc>
          <w:tcPr>
            <w:tcW w:w="1418" w:type="dxa"/>
            <w:vAlign w:val="center"/>
          </w:tcPr>
          <w:p w:rsidR="00D2569B" w:rsidRPr="00B34608" w:rsidRDefault="00D2569B" w:rsidP="001353EA">
            <w:pPr>
              <w:jc w:val="right"/>
              <w:rPr>
                <w:sz w:val="20"/>
                <w:highlight w:val="yellow"/>
              </w:rPr>
            </w:pPr>
          </w:p>
        </w:tc>
      </w:tr>
      <w:tr w:rsidR="00D2569B" w:rsidRPr="00B34608" w:rsidTr="00BA5A6C">
        <w:tc>
          <w:tcPr>
            <w:tcW w:w="567" w:type="dxa"/>
          </w:tcPr>
          <w:p w:rsidR="00D2569B" w:rsidRPr="00B34608" w:rsidRDefault="00D2569B" w:rsidP="001353EA">
            <w:pPr>
              <w:rPr>
                <w:sz w:val="20"/>
              </w:rPr>
            </w:pPr>
            <w:r w:rsidRPr="00B34608">
              <w:rPr>
                <w:sz w:val="20"/>
              </w:rPr>
              <w:t>13.</w:t>
            </w:r>
          </w:p>
        </w:tc>
        <w:tc>
          <w:tcPr>
            <w:tcW w:w="3261" w:type="dxa"/>
            <w:vAlign w:val="center"/>
          </w:tcPr>
          <w:p w:rsidR="00D2569B" w:rsidRPr="00B34608" w:rsidRDefault="00D2569B" w:rsidP="001353EA">
            <w:pPr>
              <w:rPr>
                <w:sz w:val="20"/>
              </w:rPr>
            </w:pPr>
            <w:r>
              <w:rPr>
                <w:sz w:val="20"/>
              </w:rPr>
              <w:t>BCC</w:t>
            </w:r>
            <w:r w:rsidRPr="00B34608">
              <w:rPr>
                <w:sz w:val="20"/>
              </w:rPr>
              <w:t xml:space="preserve"> Vilniaus </w:t>
            </w:r>
            <w:proofErr w:type="spellStart"/>
            <w:r w:rsidRPr="00B34608">
              <w:rPr>
                <w:sz w:val="20"/>
              </w:rPr>
              <w:t>kreditas</w:t>
            </w:r>
            <w:proofErr w:type="spellEnd"/>
          </w:p>
        </w:tc>
        <w:tc>
          <w:tcPr>
            <w:tcW w:w="1559" w:type="dxa"/>
            <w:vAlign w:val="center"/>
          </w:tcPr>
          <w:p w:rsidR="00D2569B" w:rsidRPr="00B34608" w:rsidRDefault="00D2569B" w:rsidP="001353EA">
            <w:pPr>
              <w:jc w:val="right"/>
              <w:rPr>
                <w:sz w:val="20"/>
              </w:rPr>
            </w:pPr>
            <w:r>
              <w:rPr>
                <w:sz w:val="20"/>
              </w:rPr>
              <w:t>6,</w:t>
            </w:r>
            <w:r w:rsidRPr="00B34608">
              <w:rPr>
                <w:sz w:val="20"/>
              </w:rPr>
              <w:t>358</w:t>
            </w:r>
            <w:r>
              <w:rPr>
                <w:sz w:val="20"/>
              </w:rPr>
              <w:t>,</w:t>
            </w:r>
            <w:r w:rsidRPr="00B34608">
              <w:rPr>
                <w:sz w:val="20"/>
              </w:rPr>
              <w:t>947</w:t>
            </w:r>
          </w:p>
        </w:tc>
        <w:tc>
          <w:tcPr>
            <w:tcW w:w="1417" w:type="dxa"/>
            <w:vAlign w:val="center"/>
          </w:tcPr>
          <w:p w:rsidR="00D2569B" w:rsidRPr="00B34608" w:rsidRDefault="00D2569B" w:rsidP="001353EA">
            <w:pPr>
              <w:jc w:val="right"/>
              <w:rPr>
                <w:sz w:val="20"/>
              </w:rPr>
            </w:pPr>
            <w:r>
              <w:rPr>
                <w:sz w:val="20"/>
              </w:rPr>
              <w:t>18,</w:t>
            </w:r>
            <w:r w:rsidRPr="00B34608">
              <w:rPr>
                <w:sz w:val="20"/>
              </w:rPr>
              <w:t>817</w:t>
            </w:r>
          </w:p>
        </w:tc>
        <w:tc>
          <w:tcPr>
            <w:tcW w:w="1276" w:type="dxa"/>
            <w:vAlign w:val="center"/>
          </w:tcPr>
          <w:p w:rsidR="00D2569B" w:rsidRPr="00B34608" w:rsidRDefault="00D2569B" w:rsidP="001353EA">
            <w:pPr>
              <w:jc w:val="right"/>
              <w:rPr>
                <w:sz w:val="20"/>
                <w:highlight w:val="yellow"/>
              </w:rPr>
            </w:pPr>
          </w:p>
        </w:tc>
        <w:tc>
          <w:tcPr>
            <w:tcW w:w="1418" w:type="dxa"/>
            <w:vAlign w:val="center"/>
          </w:tcPr>
          <w:p w:rsidR="00D2569B" w:rsidRPr="00B34608" w:rsidRDefault="00D2569B" w:rsidP="001353EA">
            <w:pPr>
              <w:jc w:val="right"/>
              <w:rPr>
                <w:sz w:val="20"/>
                <w:highlight w:val="yellow"/>
              </w:rPr>
            </w:pPr>
          </w:p>
        </w:tc>
      </w:tr>
      <w:tr w:rsidR="00D2569B" w:rsidRPr="00B34608" w:rsidTr="00BA5A6C">
        <w:tc>
          <w:tcPr>
            <w:tcW w:w="567" w:type="dxa"/>
          </w:tcPr>
          <w:p w:rsidR="00D2569B" w:rsidRPr="00B34608" w:rsidRDefault="00D2569B" w:rsidP="001353EA">
            <w:pPr>
              <w:jc w:val="right"/>
              <w:rPr>
                <w:b/>
                <w:sz w:val="20"/>
              </w:rPr>
            </w:pPr>
          </w:p>
        </w:tc>
        <w:tc>
          <w:tcPr>
            <w:tcW w:w="3261" w:type="dxa"/>
            <w:vAlign w:val="center"/>
          </w:tcPr>
          <w:p w:rsidR="00D2569B" w:rsidRPr="00B34608" w:rsidRDefault="00D2569B" w:rsidP="001353EA">
            <w:pPr>
              <w:jc w:val="right"/>
              <w:rPr>
                <w:sz w:val="20"/>
              </w:rPr>
            </w:pPr>
            <w:r>
              <w:rPr>
                <w:b/>
                <w:sz w:val="20"/>
              </w:rPr>
              <w:t>Total</w:t>
            </w:r>
            <w:r w:rsidRPr="00B34608">
              <w:rPr>
                <w:b/>
                <w:sz w:val="20"/>
              </w:rPr>
              <w:t>:</w:t>
            </w:r>
          </w:p>
        </w:tc>
        <w:tc>
          <w:tcPr>
            <w:tcW w:w="1559" w:type="dxa"/>
            <w:vAlign w:val="center"/>
          </w:tcPr>
          <w:p w:rsidR="00D2569B" w:rsidRPr="00B34608" w:rsidRDefault="00D2569B" w:rsidP="001353EA">
            <w:pPr>
              <w:jc w:val="right"/>
              <w:rPr>
                <w:b/>
                <w:sz w:val="20"/>
              </w:rPr>
            </w:pPr>
            <w:r>
              <w:rPr>
                <w:b/>
                <w:sz w:val="20"/>
              </w:rPr>
              <w:t>503,014,</w:t>
            </w:r>
            <w:r w:rsidRPr="00B34608">
              <w:rPr>
                <w:b/>
                <w:sz w:val="20"/>
              </w:rPr>
              <w:t>740</w:t>
            </w:r>
          </w:p>
        </w:tc>
        <w:tc>
          <w:tcPr>
            <w:tcW w:w="1417" w:type="dxa"/>
            <w:vAlign w:val="center"/>
          </w:tcPr>
          <w:p w:rsidR="00D2569B" w:rsidRPr="00B34608" w:rsidRDefault="00D2569B" w:rsidP="00E114AE">
            <w:pPr>
              <w:jc w:val="right"/>
              <w:rPr>
                <w:b/>
                <w:sz w:val="20"/>
              </w:rPr>
            </w:pPr>
            <w:r>
              <w:rPr>
                <w:b/>
                <w:sz w:val="20"/>
              </w:rPr>
              <w:t>2,117,</w:t>
            </w:r>
            <w:r w:rsidRPr="00B34608">
              <w:rPr>
                <w:b/>
                <w:sz w:val="20"/>
              </w:rPr>
              <w:t>768</w:t>
            </w:r>
          </w:p>
        </w:tc>
        <w:tc>
          <w:tcPr>
            <w:tcW w:w="1276" w:type="dxa"/>
            <w:vAlign w:val="center"/>
          </w:tcPr>
          <w:p w:rsidR="00D2569B" w:rsidRPr="00B34608" w:rsidRDefault="00D2569B" w:rsidP="001353EA">
            <w:pPr>
              <w:jc w:val="right"/>
              <w:rPr>
                <w:b/>
                <w:sz w:val="20"/>
              </w:rPr>
            </w:pPr>
            <w:r>
              <w:rPr>
                <w:b/>
                <w:sz w:val="20"/>
              </w:rPr>
              <w:t>511,</w:t>
            </w:r>
            <w:r w:rsidRPr="00B34608">
              <w:rPr>
                <w:b/>
                <w:sz w:val="20"/>
              </w:rPr>
              <w:t>513</w:t>
            </w:r>
            <w:r>
              <w:rPr>
                <w:b/>
                <w:sz w:val="20"/>
              </w:rPr>
              <w:t>,</w:t>
            </w:r>
            <w:r w:rsidRPr="00B34608">
              <w:rPr>
                <w:b/>
                <w:sz w:val="20"/>
              </w:rPr>
              <w:t>378</w:t>
            </w:r>
          </w:p>
        </w:tc>
        <w:tc>
          <w:tcPr>
            <w:tcW w:w="1418" w:type="dxa"/>
            <w:vAlign w:val="center"/>
          </w:tcPr>
          <w:p w:rsidR="00D2569B" w:rsidRPr="00B34608" w:rsidRDefault="00D2569B" w:rsidP="001353EA">
            <w:pPr>
              <w:jc w:val="right"/>
              <w:rPr>
                <w:b/>
                <w:sz w:val="20"/>
              </w:rPr>
            </w:pPr>
            <w:r w:rsidRPr="00B34608">
              <w:rPr>
                <w:b/>
                <w:sz w:val="20"/>
              </w:rPr>
              <w:t>1</w:t>
            </w:r>
            <w:r>
              <w:rPr>
                <w:b/>
                <w:sz w:val="20"/>
              </w:rPr>
              <w:t>,</w:t>
            </w:r>
            <w:r w:rsidRPr="00B34608">
              <w:rPr>
                <w:b/>
                <w:sz w:val="20"/>
              </w:rPr>
              <w:t>716</w:t>
            </w:r>
            <w:r>
              <w:rPr>
                <w:b/>
                <w:sz w:val="20"/>
              </w:rPr>
              <w:t>,</w:t>
            </w:r>
            <w:r w:rsidRPr="00B34608">
              <w:rPr>
                <w:b/>
                <w:sz w:val="20"/>
              </w:rPr>
              <w:t>030</w:t>
            </w:r>
          </w:p>
        </w:tc>
      </w:tr>
      <w:tr w:rsidR="00D2569B" w:rsidRPr="00B34608" w:rsidTr="00BA5A6C">
        <w:trPr>
          <w:trHeight w:val="337"/>
        </w:trPr>
        <w:tc>
          <w:tcPr>
            <w:tcW w:w="567" w:type="dxa"/>
          </w:tcPr>
          <w:p w:rsidR="00D2569B" w:rsidRPr="00B34608" w:rsidRDefault="00D2569B" w:rsidP="001353EA">
            <w:pPr>
              <w:rPr>
                <w:b/>
                <w:sz w:val="20"/>
              </w:rPr>
            </w:pPr>
          </w:p>
        </w:tc>
        <w:tc>
          <w:tcPr>
            <w:tcW w:w="3261" w:type="dxa"/>
            <w:vAlign w:val="center"/>
          </w:tcPr>
          <w:p w:rsidR="00D2569B" w:rsidRPr="00B34608" w:rsidRDefault="00D2569B" w:rsidP="001353EA">
            <w:pPr>
              <w:rPr>
                <w:sz w:val="20"/>
              </w:rPr>
            </w:pPr>
            <w:r>
              <w:rPr>
                <w:b/>
                <w:sz w:val="20"/>
              </w:rPr>
              <w:t xml:space="preserve">Claim secured by a financial security arrangement </w:t>
            </w:r>
          </w:p>
        </w:tc>
        <w:tc>
          <w:tcPr>
            <w:tcW w:w="1559" w:type="dxa"/>
            <w:vAlign w:val="center"/>
          </w:tcPr>
          <w:p w:rsidR="00D2569B" w:rsidRPr="00B34608" w:rsidRDefault="00D2569B" w:rsidP="001353EA">
            <w:pPr>
              <w:jc w:val="center"/>
              <w:rPr>
                <w:sz w:val="20"/>
              </w:rPr>
            </w:pPr>
            <w:r w:rsidRPr="00B34608">
              <w:rPr>
                <w:sz w:val="20"/>
              </w:rPr>
              <w:t>-</w:t>
            </w:r>
          </w:p>
        </w:tc>
        <w:tc>
          <w:tcPr>
            <w:tcW w:w="1417" w:type="dxa"/>
            <w:vAlign w:val="center"/>
          </w:tcPr>
          <w:p w:rsidR="00D2569B" w:rsidRPr="00B34608" w:rsidRDefault="00D2569B" w:rsidP="001353EA">
            <w:pPr>
              <w:jc w:val="center"/>
              <w:rPr>
                <w:sz w:val="20"/>
              </w:rPr>
            </w:pPr>
            <w:r w:rsidRPr="00B34608">
              <w:rPr>
                <w:sz w:val="20"/>
              </w:rPr>
              <w:t>-</w:t>
            </w:r>
          </w:p>
        </w:tc>
        <w:tc>
          <w:tcPr>
            <w:tcW w:w="1276" w:type="dxa"/>
            <w:vAlign w:val="center"/>
          </w:tcPr>
          <w:p w:rsidR="00D2569B" w:rsidRPr="00B34608" w:rsidRDefault="00D2569B" w:rsidP="001353EA">
            <w:pPr>
              <w:jc w:val="center"/>
              <w:rPr>
                <w:sz w:val="20"/>
              </w:rPr>
            </w:pPr>
            <w:r w:rsidRPr="00B34608">
              <w:rPr>
                <w:sz w:val="20"/>
              </w:rPr>
              <w:t>-</w:t>
            </w:r>
          </w:p>
        </w:tc>
        <w:tc>
          <w:tcPr>
            <w:tcW w:w="1418" w:type="dxa"/>
            <w:vAlign w:val="center"/>
          </w:tcPr>
          <w:p w:rsidR="00D2569B" w:rsidRPr="00B34608" w:rsidRDefault="00D2569B" w:rsidP="001353EA">
            <w:pPr>
              <w:jc w:val="center"/>
              <w:rPr>
                <w:sz w:val="20"/>
              </w:rPr>
            </w:pPr>
            <w:r w:rsidRPr="00B34608">
              <w:rPr>
                <w:sz w:val="20"/>
              </w:rPr>
              <w:t>-</w:t>
            </w:r>
          </w:p>
        </w:tc>
      </w:tr>
    </w:tbl>
    <w:p w:rsidR="00D2569B" w:rsidRPr="00B34608" w:rsidRDefault="00D2569B" w:rsidP="00380C3D">
      <w:pPr>
        <w:pStyle w:val="Antrat6"/>
      </w:pPr>
    </w:p>
    <w:p w:rsidR="00D2569B" w:rsidRPr="00B34608" w:rsidRDefault="00D2569B" w:rsidP="00380C3D">
      <w:pPr>
        <w:pStyle w:val="Antrat6"/>
        <w:rPr>
          <w:b/>
        </w:rPr>
      </w:pPr>
    </w:p>
    <w:p w:rsidR="00D2569B" w:rsidRPr="00B34608" w:rsidRDefault="00D2569B" w:rsidP="00380C3D">
      <w:pPr>
        <w:pStyle w:val="Antrat6"/>
        <w:rPr>
          <w:b/>
        </w:rPr>
      </w:pPr>
      <w:r>
        <w:rPr>
          <w:b/>
        </w:rPr>
        <w:t xml:space="preserve">Note </w:t>
      </w:r>
      <w:r w:rsidRPr="00B34608">
        <w:rPr>
          <w:b/>
        </w:rPr>
        <w:t xml:space="preserve">14. </w:t>
      </w:r>
      <w:r>
        <w:rPr>
          <w:b/>
        </w:rPr>
        <w:t>Events after the balance sheet date</w:t>
      </w:r>
    </w:p>
    <w:p w:rsidR="00D2569B" w:rsidRPr="00B34608" w:rsidRDefault="00D2569B" w:rsidP="00380C3D">
      <w:pPr>
        <w:pStyle w:val="Antrat6"/>
      </w:pPr>
    </w:p>
    <w:p w:rsidR="00D2569B" w:rsidRPr="00B34608" w:rsidRDefault="00D2569B" w:rsidP="00B02329">
      <w:pPr>
        <w:pStyle w:val="Antrat6"/>
        <w:spacing w:line="276" w:lineRule="auto"/>
        <w:jc w:val="both"/>
        <w:rPr>
          <w:szCs w:val="22"/>
        </w:rPr>
      </w:pPr>
      <w:r w:rsidRPr="00B34608">
        <w:rPr>
          <w:szCs w:val="22"/>
        </w:rPr>
        <w:t xml:space="preserve">      </w:t>
      </w:r>
      <w:r>
        <w:rPr>
          <w:szCs w:val="22"/>
        </w:rPr>
        <w:t>In performing its functions, the Company</w:t>
      </w:r>
      <w:r w:rsidRPr="00B34608">
        <w:rPr>
          <w:szCs w:val="22"/>
        </w:rPr>
        <w:t xml:space="preserve"> </w:t>
      </w:r>
      <w:r>
        <w:rPr>
          <w:szCs w:val="22"/>
        </w:rPr>
        <w:t>participates in legal disputes related to claims brought with the Deposit Insurance Fund</w:t>
      </w:r>
      <w:r w:rsidRPr="00B34608">
        <w:rPr>
          <w:szCs w:val="22"/>
        </w:rPr>
        <w:t xml:space="preserve"> </w:t>
      </w:r>
      <w:r>
        <w:rPr>
          <w:szCs w:val="22"/>
        </w:rPr>
        <w:t xml:space="preserve">for disbursement of insurance compensations and/or annual interest of </w:t>
      </w:r>
      <w:r w:rsidRPr="00B34608">
        <w:rPr>
          <w:szCs w:val="22"/>
        </w:rPr>
        <w:t>5</w:t>
      </w:r>
      <w:r>
        <w:rPr>
          <w:szCs w:val="22"/>
        </w:rPr>
        <w:t xml:space="preserve">% for insurance compensations for deposit certificates of </w:t>
      </w:r>
      <w:r w:rsidRPr="00B34608">
        <w:rPr>
          <w:szCs w:val="22"/>
        </w:rPr>
        <w:t xml:space="preserve">AB </w:t>
      </w:r>
      <w:proofErr w:type="spellStart"/>
      <w:r w:rsidRPr="00B34608">
        <w:rPr>
          <w:szCs w:val="22"/>
        </w:rPr>
        <w:t>bank</w:t>
      </w:r>
      <w:r>
        <w:rPr>
          <w:szCs w:val="22"/>
        </w:rPr>
        <w:t>as</w:t>
      </w:r>
      <w:proofErr w:type="spellEnd"/>
      <w:r w:rsidRPr="00B34608">
        <w:rPr>
          <w:szCs w:val="22"/>
        </w:rPr>
        <w:t xml:space="preserve"> SNORAS</w:t>
      </w:r>
      <w:r>
        <w:rPr>
          <w:szCs w:val="22"/>
        </w:rPr>
        <w:t xml:space="preserve"> which, in the opinion of claimants, were disbursed with delay</w:t>
      </w:r>
      <w:r w:rsidRPr="00B34608">
        <w:rPr>
          <w:szCs w:val="22"/>
        </w:rPr>
        <w:t xml:space="preserve">. </w:t>
      </w:r>
      <w:r>
        <w:rPr>
          <w:szCs w:val="22"/>
        </w:rPr>
        <w:t>The</w:t>
      </w:r>
      <w:r w:rsidRPr="00B34608">
        <w:rPr>
          <w:szCs w:val="22"/>
        </w:rPr>
        <w:t xml:space="preserve"> </w:t>
      </w:r>
      <w:r>
        <w:rPr>
          <w:szCs w:val="22"/>
        </w:rPr>
        <w:t>Company</w:t>
      </w:r>
      <w:r w:rsidRPr="00B34608">
        <w:rPr>
          <w:szCs w:val="22"/>
        </w:rPr>
        <w:t xml:space="preserve"> </w:t>
      </w:r>
      <w:r>
        <w:rPr>
          <w:szCs w:val="22"/>
        </w:rPr>
        <w:t xml:space="preserve">also participates in legal disputes regarding renewal of the overdue term of validity of the right to the insurance compensation </w:t>
      </w:r>
      <w:r w:rsidRPr="00B34608">
        <w:rPr>
          <w:szCs w:val="22"/>
        </w:rPr>
        <w:t>(</w:t>
      </w:r>
      <w:r>
        <w:rPr>
          <w:szCs w:val="22"/>
        </w:rPr>
        <w:t xml:space="preserve">in the case of </w:t>
      </w:r>
      <w:r w:rsidRPr="00B34608">
        <w:rPr>
          <w:szCs w:val="22"/>
        </w:rPr>
        <w:t xml:space="preserve">AB </w:t>
      </w:r>
      <w:proofErr w:type="spellStart"/>
      <w:r w:rsidRPr="00B34608">
        <w:rPr>
          <w:szCs w:val="22"/>
        </w:rPr>
        <w:t>bank</w:t>
      </w:r>
      <w:r>
        <w:rPr>
          <w:szCs w:val="22"/>
        </w:rPr>
        <w:t>as</w:t>
      </w:r>
      <w:proofErr w:type="spellEnd"/>
      <w:r w:rsidRPr="00B34608">
        <w:rPr>
          <w:szCs w:val="22"/>
        </w:rPr>
        <w:t xml:space="preserve"> SNORAS). </w:t>
      </w:r>
      <w:r>
        <w:rPr>
          <w:szCs w:val="22"/>
        </w:rPr>
        <w:t xml:space="preserve">As at 31 December </w:t>
      </w:r>
      <w:r w:rsidRPr="00B34608">
        <w:rPr>
          <w:szCs w:val="22"/>
        </w:rPr>
        <w:t>2017</w:t>
      </w:r>
      <w:r>
        <w:rPr>
          <w:szCs w:val="22"/>
        </w:rPr>
        <w:t>, the</w:t>
      </w:r>
      <w:r w:rsidRPr="00B34608">
        <w:rPr>
          <w:szCs w:val="22"/>
        </w:rPr>
        <w:t xml:space="preserve"> </w:t>
      </w:r>
      <w:r>
        <w:rPr>
          <w:szCs w:val="22"/>
        </w:rPr>
        <w:t>Company</w:t>
      </w:r>
      <w:r w:rsidRPr="00B34608">
        <w:rPr>
          <w:szCs w:val="22"/>
        </w:rPr>
        <w:t xml:space="preserve"> </w:t>
      </w:r>
      <w:r>
        <w:rPr>
          <w:szCs w:val="22"/>
        </w:rPr>
        <w:t>also participated in legal disputes according to the bankruptcy administrator’s complaints regarding the challenging of four resolutions of credit meetings/committee of credit institutions</w:t>
      </w:r>
      <w:r w:rsidRPr="00B34608">
        <w:rPr>
          <w:szCs w:val="22"/>
        </w:rPr>
        <w:t>.</w:t>
      </w:r>
    </w:p>
    <w:p w:rsidR="00D2569B" w:rsidRPr="00B34608" w:rsidRDefault="00D2569B" w:rsidP="00B02329">
      <w:pPr>
        <w:pStyle w:val="Antrat6"/>
        <w:spacing w:line="276" w:lineRule="auto"/>
        <w:ind w:firstLine="567"/>
        <w:jc w:val="both"/>
        <w:rPr>
          <w:szCs w:val="22"/>
          <w:lang w:eastAsia="lt-LT"/>
        </w:rPr>
      </w:pPr>
      <w:r>
        <w:rPr>
          <w:szCs w:val="22"/>
          <w:lang w:eastAsia="lt-LT"/>
        </w:rPr>
        <w:t xml:space="preserve">According to the data of 31 December </w:t>
      </w:r>
      <w:r w:rsidRPr="00B34608">
        <w:rPr>
          <w:szCs w:val="22"/>
          <w:lang w:eastAsia="lt-LT"/>
        </w:rPr>
        <w:t xml:space="preserve">2017, </w:t>
      </w:r>
      <w:r>
        <w:rPr>
          <w:szCs w:val="22"/>
          <w:lang w:eastAsia="lt-LT"/>
        </w:rPr>
        <w:t>the Company, as a defendant and third party, participated in</w:t>
      </w:r>
      <w:r w:rsidRPr="00B34608">
        <w:rPr>
          <w:szCs w:val="22"/>
          <w:lang w:eastAsia="lt-LT"/>
        </w:rPr>
        <w:t xml:space="preserve"> 166 </w:t>
      </w:r>
      <w:r>
        <w:rPr>
          <w:szCs w:val="22"/>
          <w:lang w:eastAsia="lt-LT"/>
        </w:rPr>
        <w:t>pending legal disputes the amount of claims of which is EUR</w:t>
      </w:r>
      <w:r w:rsidRPr="00B34608">
        <w:rPr>
          <w:szCs w:val="22"/>
          <w:lang w:eastAsia="lt-LT"/>
        </w:rPr>
        <w:t xml:space="preserve"> 18</w:t>
      </w:r>
      <w:r>
        <w:rPr>
          <w:szCs w:val="22"/>
          <w:lang w:eastAsia="lt-LT"/>
        </w:rPr>
        <w:t>.</w:t>
      </w:r>
      <w:r w:rsidRPr="00B34608">
        <w:rPr>
          <w:szCs w:val="22"/>
          <w:lang w:eastAsia="lt-LT"/>
        </w:rPr>
        <w:t xml:space="preserve">2 </w:t>
      </w:r>
      <w:r>
        <w:rPr>
          <w:szCs w:val="22"/>
          <w:lang w:eastAsia="lt-LT"/>
        </w:rPr>
        <w:t>million</w:t>
      </w:r>
      <w:r w:rsidRPr="00B34608">
        <w:rPr>
          <w:szCs w:val="22"/>
          <w:lang w:eastAsia="lt-LT"/>
        </w:rPr>
        <w:t>.</w:t>
      </w:r>
    </w:p>
    <w:p w:rsidR="00D2569B" w:rsidRPr="00B34608" w:rsidRDefault="00D2569B" w:rsidP="00B02329">
      <w:pPr>
        <w:pStyle w:val="Antrat6"/>
        <w:spacing w:line="276" w:lineRule="auto"/>
        <w:jc w:val="both"/>
        <w:rPr>
          <w:szCs w:val="22"/>
        </w:rPr>
      </w:pPr>
      <w:r w:rsidRPr="00B34608">
        <w:rPr>
          <w:szCs w:val="22"/>
        </w:rPr>
        <w:t xml:space="preserve">        </w:t>
      </w:r>
      <w:r>
        <w:rPr>
          <w:szCs w:val="22"/>
        </w:rPr>
        <w:t xml:space="preserve">The major part </w:t>
      </w:r>
      <w:r w:rsidRPr="00B34608">
        <w:rPr>
          <w:szCs w:val="22"/>
        </w:rPr>
        <w:t>(76</w:t>
      </w:r>
      <w:r>
        <w:rPr>
          <w:szCs w:val="22"/>
        </w:rPr>
        <w:t>%</w:t>
      </w:r>
      <w:r w:rsidRPr="00B34608">
        <w:rPr>
          <w:szCs w:val="22"/>
        </w:rPr>
        <w:t xml:space="preserve">) </w:t>
      </w:r>
      <w:r>
        <w:rPr>
          <w:szCs w:val="22"/>
        </w:rPr>
        <w:t>of cases were related to bonds issued by</w:t>
      </w:r>
      <w:r w:rsidRPr="00B34608">
        <w:rPr>
          <w:szCs w:val="22"/>
        </w:rPr>
        <w:t xml:space="preserve"> AB </w:t>
      </w:r>
      <w:proofErr w:type="spellStart"/>
      <w:r w:rsidRPr="00B34608">
        <w:rPr>
          <w:szCs w:val="22"/>
        </w:rPr>
        <w:t>bank</w:t>
      </w:r>
      <w:r>
        <w:rPr>
          <w:szCs w:val="22"/>
        </w:rPr>
        <w:t>as</w:t>
      </w:r>
      <w:proofErr w:type="spellEnd"/>
      <w:r w:rsidRPr="00B34608">
        <w:rPr>
          <w:szCs w:val="22"/>
        </w:rPr>
        <w:t xml:space="preserve"> SNORAS (</w:t>
      </w:r>
      <w:r>
        <w:rPr>
          <w:szCs w:val="22"/>
        </w:rPr>
        <w:t>both, bonds which had entered into force and that had not entered into force before the bankruptcy of the bank</w:t>
      </w:r>
      <w:r w:rsidRPr="00B34608">
        <w:rPr>
          <w:szCs w:val="22"/>
        </w:rPr>
        <w:t xml:space="preserve">). </w:t>
      </w:r>
      <w:r>
        <w:rPr>
          <w:szCs w:val="22"/>
        </w:rPr>
        <w:t xml:space="preserve">Some claimants claim insurance compensations for deposits and/or liabilities to investors for funds paid in for the issue of shares of </w:t>
      </w:r>
      <w:r w:rsidRPr="00B34608">
        <w:rPr>
          <w:szCs w:val="22"/>
        </w:rPr>
        <w:t xml:space="preserve">AB </w:t>
      </w:r>
      <w:proofErr w:type="spellStart"/>
      <w:r w:rsidRPr="00B34608">
        <w:rPr>
          <w:szCs w:val="22"/>
        </w:rPr>
        <w:t>bank</w:t>
      </w:r>
      <w:r>
        <w:rPr>
          <w:szCs w:val="22"/>
        </w:rPr>
        <w:t>as</w:t>
      </w:r>
      <w:proofErr w:type="spellEnd"/>
      <w:r w:rsidRPr="00B34608">
        <w:rPr>
          <w:szCs w:val="22"/>
        </w:rPr>
        <w:t xml:space="preserve"> SNORAS </w:t>
      </w:r>
      <w:r>
        <w:rPr>
          <w:szCs w:val="22"/>
        </w:rPr>
        <w:t>which has not entered into force</w:t>
      </w:r>
      <w:r w:rsidRPr="00B34608">
        <w:rPr>
          <w:szCs w:val="22"/>
        </w:rPr>
        <w:t xml:space="preserve">. </w:t>
      </w:r>
    </w:p>
    <w:p w:rsidR="00D2569B" w:rsidRPr="00B34608" w:rsidRDefault="00D2569B" w:rsidP="00B02329">
      <w:pPr>
        <w:pStyle w:val="Antrat6"/>
        <w:spacing w:line="276" w:lineRule="auto"/>
        <w:jc w:val="both"/>
        <w:rPr>
          <w:szCs w:val="22"/>
        </w:rPr>
      </w:pPr>
      <w:r w:rsidRPr="00B34608">
        <w:rPr>
          <w:szCs w:val="22"/>
        </w:rPr>
        <w:t xml:space="preserve">        </w:t>
      </w:r>
      <w:r>
        <w:rPr>
          <w:szCs w:val="22"/>
        </w:rPr>
        <w:t>Legal proceedings regarding shares issued by</w:t>
      </w:r>
      <w:r w:rsidRPr="00B34608">
        <w:rPr>
          <w:szCs w:val="22"/>
        </w:rPr>
        <w:t xml:space="preserve"> AB </w:t>
      </w:r>
      <w:proofErr w:type="spellStart"/>
      <w:r w:rsidRPr="00B34608">
        <w:rPr>
          <w:szCs w:val="22"/>
        </w:rPr>
        <w:t>bank</w:t>
      </w:r>
      <w:r>
        <w:rPr>
          <w:szCs w:val="22"/>
        </w:rPr>
        <w:t>as</w:t>
      </w:r>
      <w:proofErr w:type="spellEnd"/>
      <w:r w:rsidRPr="00B34608">
        <w:rPr>
          <w:szCs w:val="22"/>
        </w:rPr>
        <w:t xml:space="preserve"> SNORAS</w:t>
      </w:r>
      <w:r>
        <w:rPr>
          <w:szCs w:val="22"/>
        </w:rPr>
        <w:t xml:space="preserve"> and bonds that have not entered into force have been suspended and will be renewed after the ruling of the</w:t>
      </w:r>
      <w:r w:rsidRPr="00B34608">
        <w:rPr>
          <w:szCs w:val="22"/>
        </w:rPr>
        <w:t xml:space="preserve"> </w:t>
      </w:r>
      <w:r>
        <w:rPr>
          <w:szCs w:val="22"/>
        </w:rPr>
        <w:t>Court of Justice</w:t>
      </w:r>
      <w:r w:rsidRPr="00B34608">
        <w:rPr>
          <w:szCs w:val="22"/>
        </w:rPr>
        <w:t xml:space="preserve"> </w:t>
      </w:r>
      <w:r>
        <w:rPr>
          <w:szCs w:val="22"/>
        </w:rPr>
        <w:t xml:space="preserve">of the </w:t>
      </w:r>
      <w:r w:rsidRPr="00B34608">
        <w:rPr>
          <w:szCs w:val="22"/>
        </w:rPr>
        <w:t>Europ</w:t>
      </w:r>
      <w:r>
        <w:rPr>
          <w:szCs w:val="22"/>
        </w:rPr>
        <w:t>ean Union and explanations issued by the Supreme Court of Lithuania following the receipt of the preliminary ruling of the CJEU</w:t>
      </w:r>
      <w:r w:rsidRPr="00B34608">
        <w:rPr>
          <w:szCs w:val="22"/>
        </w:rPr>
        <w:t>.</w:t>
      </w:r>
    </w:p>
    <w:p w:rsidR="00D2569B" w:rsidRPr="00B34608" w:rsidRDefault="00D2569B" w:rsidP="00B02329">
      <w:pPr>
        <w:pStyle w:val="Antrat6"/>
        <w:spacing w:line="276" w:lineRule="auto"/>
        <w:jc w:val="both"/>
        <w:rPr>
          <w:szCs w:val="22"/>
        </w:rPr>
      </w:pPr>
      <w:r w:rsidRPr="00B34608">
        <w:rPr>
          <w:szCs w:val="22"/>
        </w:rPr>
        <w:t xml:space="preserve">         </w:t>
      </w:r>
      <w:r>
        <w:rPr>
          <w:szCs w:val="22"/>
        </w:rPr>
        <w:t xml:space="preserve">Having regard to explanations provided in the Ruling of the Supreme Court of Lithuania of 17 November 2015, on 14 December </w:t>
      </w:r>
      <w:r w:rsidRPr="00B34608">
        <w:rPr>
          <w:szCs w:val="22"/>
        </w:rPr>
        <w:t>2015</w:t>
      </w:r>
      <w:r>
        <w:rPr>
          <w:szCs w:val="22"/>
        </w:rPr>
        <w:t>, deposit</w:t>
      </w:r>
      <w:r w:rsidRPr="00B34608">
        <w:rPr>
          <w:szCs w:val="22"/>
        </w:rPr>
        <w:t xml:space="preserve"> </w:t>
      </w:r>
      <w:r>
        <w:rPr>
          <w:szCs w:val="22"/>
        </w:rPr>
        <w:t>insurance compensations</w:t>
      </w:r>
      <w:r w:rsidRPr="00B34608">
        <w:rPr>
          <w:szCs w:val="22"/>
        </w:rPr>
        <w:t xml:space="preserve"> </w:t>
      </w:r>
      <w:r>
        <w:rPr>
          <w:szCs w:val="22"/>
        </w:rPr>
        <w:t>were paid</w:t>
      </w:r>
      <w:r w:rsidRPr="00B34608">
        <w:rPr>
          <w:szCs w:val="22"/>
        </w:rPr>
        <w:t xml:space="preserve">. </w:t>
      </w:r>
      <w:r>
        <w:rPr>
          <w:szCs w:val="22"/>
        </w:rPr>
        <w:t>In some cases disputes regarding deposit certificates are still pending and individuals claim from the</w:t>
      </w:r>
      <w:r w:rsidRPr="00B34608">
        <w:rPr>
          <w:szCs w:val="22"/>
        </w:rPr>
        <w:t xml:space="preserve"> </w:t>
      </w:r>
      <w:r>
        <w:rPr>
          <w:szCs w:val="22"/>
        </w:rPr>
        <w:t>Company</w:t>
      </w:r>
      <w:r w:rsidRPr="00B34608">
        <w:rPr>
          <w:szCs w:val="22"/>
        </w:rPr>
        <w:t xml:space="preserve"> </w:t>
      </w:r>
      <w:r>
        <w:rPr>
          <w:szCs w:val="22"/>
        </w:rPr>
        <w:t xml:space="preserve">the procedural interest of </w:t>
      </w:r>
      <w:r w:rsidRPr="00B34608">
        <w:rPr>
          <w:szCs w:val="22"/>
        </w:rPr>
        <w:t>5</w:t>
      </w:r>
      <w:r>
        <w:rPr>
          <w:szCs w:val="22"/>
        </w:rPr>
        <w:t>% from the amount of insurance compensation paid for deposit certificates</w:t>
      </w:r>
      <w:r w:rsidRPr="00B34608">
        <w:rPr>
          <w:szCs w:val="22"/>
        </w:rPr>
        <w:t xml:space="preserve">. </w:t>
      </w:r>
      <w:r>
        <w:rPr>
          <w:szCs w:val="22"/>
        </w:rPr>
        <w:t xml:space="preserve">As explained by the Supreme Court of Lithuania in the Ruling of 28 July 2017 in the Civil Case </w:t>
      </w:r>
      <w:r w:rsidRPr="00B34608">
        <w:rPr>
          <w:szCs w:val="22"/>
        </w:rPr>
        <w:t>3K-3-325-684/2017</w:t>
      </w:r>
      <w:r>
        <w:rPr>
          <w:szCs w:val="22"/>
        </w:rPr>
        <w:t>, the</w:t>
      </w:r>
      <w:r w:rsidRPr="00B34608">
        <w:rPr>
          <w:szCs w:val="22"/>
        </w:rPr>
        <w:t xml:space="preserve"> </w:t>
      </w:r>
      <w:r>
        <w:rPr>
          <w:szCs w:val="22"/>
        </w:rPr>
        <w:t>Company may become obliged to pay procedural interest for insurance compensations not paid in due time for</w:t>
      </w:r>
      <w:r w:rsidRPr="00B34608">
        <w:rPr>
          <w:szCs w:val="22"/>
        </w:rPr>
        <w:t> </w:t>
      </w:r>
      <w:r>
        <w:rPr>
          <w:szCs w:val="22"/>
        </w:rPr>
        <w:t xml:space="preserve">deposit certificates of AB </w:t>
      </w:r>
      <w:proofErr w:type="spellStart"/>
      <w:r>
        <w:rPr>
          <w:szCs w:val="22"/>
        </w:rPr>
        <w:t>bankas</w:t>
      </w:r>
      <w:proofErr w:type="spellEnd"/>
      <w:r w:rsidRPr="00B34608">
        <w:rPr>
          <w:szCs w:val="22"/>
        </w:rPr>
        <w:t xml:space="preserve"> SNORAS. </w:t>
      </w:r>
      <w:r>
        <w:rPr>
          <w:szCs w:val="22"/>
        </w:rPr>
        <w:t>In analogous civil cases which had been suspended before adoption of the Ruling of the Supreme Court of Lithuania of 28 July 2017</w:t>
      </w:r>
      <w:r w:rsidRPr="00B34608">
        <w:rPr>
          <w:szCs w:val="22"/>
        </w:rPr>
        <w:t xml:space="preserve">, </w:t>
      </w:r>
      <w:r>
        <w:rPr>
          <w:szCs w:val="22"/>
        </w:rPr>
        <w:t>the Company</w:t>
      </w:r>
      <w:r w:rsidRPr="00B34608">
        <w:rPr>
          <w:szCs w:val="22"/>
        </w:rPr>
        <w:t xml:space="preserve"> </w:t>
      </w:r>
      <w:r>
        <w:rPr>
          <w:szCs w:val="22"/>
        </w:rPr>
        <w:t>concluded peaceful settlement agreements</w:t>
      </w:r>
      <w:r w:rsidRPr="00B34608">
        <w:rPr>
          <w:szCs w:val="22"/>
        </w:rPr>
        <w:t>.</w:t>
      </w:r>
    </w:p>
    <w:p w:rsidR="00D2569B" w:rsidRPr="00B34608" w:rsidRDefault="00D2569B" w:rsidP="00B02329">
      <w:pPr>
        <w:jc w:val="both"/>
      </w:pPr>
      <w:r w:rsidRPr="00B34608">
        <w:t xml:space="preserve">         </w:t>
      </w:r>
      <w:r>
        <w:t xml:space="preserve">In January </w:t>
      </w:r>
      <w:r w:rsidRPr="00B34608">
        <w:t>2018</w:t>
      </w:r>
      <w:r>
        <w:t>, the amount of procedural interest of EUR</w:t>
      </w:r>
      <w:r w:rsidRPr="00B34608">
        <w:t xml:space="preserve"> 90,5</w:t>
      </w:r>
      <w:r>
        <w:t>00 was paid according to the ruling of</w:t>
      </w:r>
      <w:r w:rsidRPr="00B34608">
        <w:t xml:space="preserve"> </w:t>
      </w:r>
      <w:r>
        <w:t>Vilnius Regional Court</w:t>
      </w:r>
      <w:r w:rsidRPr="00B34608">
        <w:t>.</w:t>
      </w:r>
    </w:p>
    <w:p w:rsidR="00D2569B" w:rsidRPr="00B34608" w:rsidRDefault="00D2569B" w:rsidP="00B02329">
      <w:pPr>
        <w:spacing w:line="276" w:lineRule="auto"/>
        <w:jc w:val="both"/>
        <w:rPr>
          <w:szCs w:val="22"/>
        </w:rPr>
      </w:pPr>
      <w:r w:rsidRPr="00B34608">
        <w:rPr>
          <w:szCs w:val="22"/>
        </w:rPr>
        <w:t xml:space="preserve">         </w:t>
      </w:r>
      <w:r>
        <w:rPr>
          <w:szCs w:val="22"/>
        </w:rPr>
        <w:t>After the end of the financial year until the approval of these financial statements, there were no other events after the balance sheet date, except for those mentioned above that could influence the financial statements or should be disclosed in the financial statements as at 31 December</w:t>
      </w:r>
      <w:r w:rsidRPr="00B34608">
        <w:rPr>
          <w:szCs w:val="22"/>
        </w:rPr>
        <w:t xml:space="preserve"> 2017</w:t>
      </w:r>
      <w:r>
        <w:rPr>
          <w:szCs w:val="22"/>
        </w:rPr>
        <w:t>.</w:t>
      </w:r>
    </w:p>
    <w:p w:rsidR="00D2569B" w:rsidRPr="00B34608" w:rsidRDefault="00D2569B" w:rsidP="00B02329">
      <w:pPr>
        <w:spacing w:line="276" w:lineRule="auto"/>
        <w:jc w:val="both"/>
        <w:rPr>
          <w:szCs w:val="22"/>
        </w:rPr>
      </w:pPr>
    </w:p>
    <w:p w:rsidR="00D2569B" w:rsidRPr="00B34608" w:rsidRDefault="00D2569B" w:rsidP="006560FE">
      <w:pPr>
        <w:tabs>
          <w:tab w:val="left" w:pos="0"/>
        </w:tabs>
        <w:jc w:val="both"/>
        <w:rPr>
          <w:szCs w:val="22"/>
        </w:rPr>
      </w:pPr>
    </w:p>
    <w:p w:rsidR="00D2569B" w:rsidRPr="00B34608" w:rsidRDefault="00D2569B" w:rsidP="006560FE">
      <w:pPr>
        <w:tabs>
          <w:tab w:val="left" w:pos="0"/>
        </w:tabs>
        <w:jc w:val="both"/>
        <w:rPr>
          <w:szCs w:val="22"/>
        </w:rPr>
      </w:pPr>
    </w:p>
    <w:p w:rsidR="00D2569B" w:rsidRPr="00B34608" w:rsidRDefault="00D2569B" w:rsidP="006560FE">
      <w:pPr>
        <w:tabs>
          <w:tab w:val="left" w:pos="0"/>
        </w:tabs>
        <w:jc w:val="both"/>
        <w:rPr>
          <w:szCs w:val="22"/>
        </w:rPr>
      </w:pPr>
    </w:p>
    <w:p w:rsidR="00D2569B" w:rsidRPr="00B34608" w:rsidRDefault="00D2569B" w:rsidP="006560FE">
      <w:pPr>
        <w:tabs>
          <w:tab w:val="left" w:pos="0"/>
        </w:tabs>
        <w:jc w:val="both"/>
        <w:rPr>
          <w:sz w:val="16"/>
          <w:szCs w:val="16"/>
        </w:rPr>
      </w:pPr>
      <w:r w:rsidRPr="00B34608">
        <w:rPr>
          <w:szCs w:val="22"/>
        </w:rPr>
        <w:t xml:space="preserve">   </w:t>
      </w:r>
      <w:r w:rsidRPr="00F33D93">
        <w:rPr>
          <w:szCs w:val="22"/>
        </w:rPr>
        <w:t>Dire</w:t>
      </w:r>
      <w:r>
        <w:rPr>
          <w:szCs w:val="22"/>
        </w:rPr>
        <w:t>ctor</w:t>
      </w:r>
      <w:r w:rsidRPr="00B34608">
        <w:rPr>
          <w:szCs w:val="22"/>
        </w:rPr>
        <w:t xml:space="preserve">                 </w:t>
      </w:r>
      <w:r w:rsidRPr="00B34608">
        <w:rPr>
          <w:szCs w:val="22"/>
        </w:rPr>
        <w:tab/>
      </w:r>
      <w:r w:rsidRPr="00B34608">
        <w:rPr>
          <w:szCs w:val="22"/>
        </w:rPr>
        <w:tab/>
      </w:r>
      <w:r w:rsidRPr="00B34608">
        <w:rPr>
          <w:szCs w:val="22"/>
        </w:rPr>
        <w:tab/>
      </w:r>
      <w:r w:rsidRPr="00B34608">
        <w:rPr>
          <w:szCs w:val="22"/>
        </w:rPr>
        <w:tab/>
      </w:r>
      <w:r w:rsidRPr="00B34608">
        <w:rPr>
          <w:szCs w:val="22"/>
        </w:rPr>
        <w:tab/>
      </w:r>
      <w:r w:rsidRPr="00B34608">
        <w:rPr>
          <w:szCs w:val="22"/>
        </w:rPr>
        <w:tab/>
      </w:r>
      <w:r w:rsidRPr="00B34608">
        <w:rPr>
          <w:szCs w:val="22"/>
        </w:rPr>
        <w:tab/>
        <w:t xml:space="preserve">                                     Aurelija Mažintienė</w:t>
      </w:r>
      <w:r w:rsidRPr="00B34608">
        <w:rPr>
          <w:sz w:val="16"/>
          <w:szCs w:val="16"/>
        </w:rPr>
        <w:t xml:space="preserve">  </w:t>
      </w:r>
    </w:p>
    <w:p w:rsidR="00D2569B" w:rsidRPr="00B34608" w:rsidRDefault="00D2569B" w:rsidP="00BE5ADA"/>
    <w:p w:rsidR="00D2569B" w:rsidRPr="00B34608" w:rsidRDefault="00D2569B" w:rsidP="00BE5ADA"/>
    <w:p w:rsidR="00D2569B" w:rsidRPr="00B34608" w:rsidRDefault="00D2569B" w:rsidP="00B02329">
      <w:pPr>
        <w:pStyle w:val="Antrat6"/>
        <w:spacing w:line="276" w:lineRule="auto"/>
        <w:jc w:val="both"/>
        <w:rPr>
          <w:szCs w:val="22"/>
        </w:rPr>
      </w:pPr>
      <w:r w:rsidRPr="00B34608">
        <w:rPr>
          <w:szCs w:val="22"/>
        </w:rPr>
        <w:t xml:space="preserve">  </w:t>
      </w:r>
      <w:r>
        <w:rPr>
          <w:szCs w:val="22"/>
        </w:rPr>
        <w:t>Acting Chief Accountant</w:t>
      </w:r>
      <w:r w:rsidRPr="00B34608">
        <w:rPr>
          <w:szCs w:val="22"/>
        </w:rPr>
        <w:t xml:space="preserve">                                                                                           Laima Tankevičiūtė</w:t>
      </w:r>
    </w:p>
    <w:sectPr w:rsidR="00D2569B" w:rsidRPr="00B34608" w:rsidSect="00CD17A9">
      <w:headerReference w:type="default" r:id="rId17"/>
      <w:pgSz w:w="11906" w:h="16838" w:code="9"/>
      <w:pgMar w:top="-851" w:right="707" w:bottom="1134" w:left="1701" w:header="454"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29B" w:rsidRDefault="0065529B">
      <w:r>
        <w:separator/>
      </w:r>
    </w:p>
  </w:endnote>
  <w:endnote w:type="continuationSeparator" w:id="0">
    <w:p w:rsidR="0065529B" w:rsidRDefault="0065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9B" w:rsidRDefault="00D2569B" w:rsidP="004D475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2569B" w:rsidRDefault="00D2569B" w:rsidP="00A40C5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9B" w:rsidRDefault="00D2569B" w:rsidP="004D475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D2569B" w:rsidRDefault="00D2569B" w:rsidP="00A40C56">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9B" w:rsidRDefault="00D84268">
    <w:pPr>
      <w:pStyle w:val="Porat"/>
      <w:jc w:val="center"/>
    </w:pPr>
    <w:r>
      <w:fldChar w:fldCharType="begin"/>
    </w:r>
    <w:r>
      <w:instrText>PAGE   \* MERGEFORMAT</w:instrText>
    </w:r>
    <w:r>
      <w:fldChar w:fldCharType="separate"/>
    </w:r>
    <w:r w:rsidR="00D2569B" w:rsidRPr="004B39D2">
      <w:rPr>
        <w:noProof/>
        <w:lang w:val="lt-LT"/>
      </w:rPr>
      <w:t>20</w:t>
    </w:r>
    <w:r>
      <w:rPr>
        <w:noProof/>
        <w:lang w:val="lt-LT"/>
      </w:rPr>
      <w:fldChar w:fldCharType="end"/>
    </w:r>
  </w:p>
  <w:p w:rsidR="00D2569B" w:rsidRDefault="00D2569B" w:rsidP="004250D7">
    <w:pPr>
      <w:pStyle w:val="Porat"/>
      <w:tabs>
        <w:tab w:val="left" w:pos="2581"/>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29B" w:rsidRDefault="0065529B">
      <w:r>
        <w:separator/>
      </w:r>
    </w:p>
  </w:footnote>
  <w:footnote w:type="continuationSeparator" w:id="0">
    <w:p w:rsidR="0065529B" w:rsidRDefault="0065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9B" w:rsidRDefault="00D2569B">
    <w:pPr>
      <w:pStyle w:val="Antrats"/>
      <w:jc w:val="center"/>
    </w:pPr>
  </w:p>
  <w:p w:rsidR="00D2569B" w:rsidRDefault="00D2569B">
    <w:pPr>
      <w:pStyle w:val="Antrats"/>
      <w:spacing w:before="60" w:after="60"/>
      <w:ind w:left="4820" w:firstLine="850"/>
      <w:jc w:val="left"/>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9B" w:rsidRDefault="00D2569B">
    <w:pPr>
      <w:pStyle w:val="Antrats"/>
      <w:jc w:val="center"/>
    </w:pPr>
  </w:p>
  <w:p w:rsidR="00D2569B" w:rsidRDefault="00D2569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9B" w:rsidRDefault="00D2569B">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9B" w:rsidRPr="00F8763A" w:rsidRDefault="00D2569B" w:rsidP="00F15FD6">
    <w:pPr>
      <w:pStyle w:val="Antrats"/>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9B" w:rsidRDefault="00D2569B">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9B" w:rsidRDefault="00D2569B">
    <w:pPr>
      <w:pStyle w:val="Antrats"/>
      <w:jc w:val="center"/>
      <w:rPr>
        <w:noProof/>
      </w:rPr>
    </w:pPr>
  </w:p>
  <w:tbl>
    <w:tblPr>
      <w:tblW w:w="7654" w:type="dxa"/>
      <w:tblInd w:w="2198" w:type="dxa"/>
      <w:tblLayout w:type="fixed"/>
      <w:tblCellMar>
        <w:left w:w="71" w:type="dxa"/>
        <w:right w:w="71" w:type="dxa"/>
      </w:tblCellMar>
      <w:tblLook w:val="0000" w:firstRow="0" w:lastRow="0" w:firstColumn="0" w:lastColumn="0" w:noHBand="0" w:noVBand="0"/>
    </w:tblPr>
    <w:tblGrid>
      <w:gridCol w:w="7654"/>
    </w:tblGrid>
    <w:tr w:rsidR="00D2569B" w:rsidTr="00BC5D5C">
      <w:trPr>
        <w:trHeight w:hRule="exact" w:val="220"/>
      </w:trPr>
      <w:tc>
        <w:tcPr>
          <w:tcW w:w="7654" w:type="dxa"/>
        </w:tcPr>
        <w:p w:rsidR="00D2569B" w:rsidRDefault="00D2569B" w:rsidP="00BC5D5C">
          <w:pPr>
            <w:pStyle w:val="Antrats"/>
            <w:ind w:hanging="3899"/>
            <w:jc w:val="center"/>
            <w:rPr>
              <w:b/>
              <w:lang w:eastAsia="en-US"/>
            </w:rPr>
          </w:pPr>
        </w:p>
      </w:tc>
    </w:tr>
    <w:tr w:rsidR="00D2569B" w:rsidTr="00BC5D5C">
      <w:trPr>
        <w:trHeight w:hRule="exact" w:val="220"/>
      </w:trPr>
      <w:tc>
        <w:tcPr>
          <w:tcW w:w="7654" w:type="dxa"/>
        </w:tcPr>
        <w:p w:rsidR="00D2569B" w:rsidRDefault="00D2569B" w:rsidP="00387D3A">
          <w:pPr>
            <w:pStyle w:val="Antrats"/>
            <w:tabs>
              <w:tab w:val="left" w:pos="5400"/>
            </w:tabs>
            <w:ind w:left="-213" w:right="-354" w:hanging="3686"/>
            <w:jc w:val="left"/>
            <w:rPr>
              <w:lang w:eastAsia="en-US"/>
            </w:rPr>
          </w:pPr>
          <w:r>
            <w:rPr>
              <w:lang w:eastAsia="en-US"/>
            </w:rPr>
            <w:tab/>
          </w:r>
          <w:r>
            <w:rPr>
              <w:lang w:eastAsia="en-US"/>
            </w:rPr>
            <w:tab/>
          </w:r>
        </w:p>
      </w:tc>
    </w:tr>
  </w:tbl>
  <w:p w:rsidR="00D2569B" w:rsidRDefault="00D2569B">
    <w:pPr>
      <w:pStyle w:val="Antrats"/>
      <w:jc w:val="center"/>
    </w:pPr>
  </w:p>
  <w:p w:rsidR="00D2569B" w:rsidRPr="00717AE5" w:rsidRDefault="00D2569B" w:rsidP="00595644">
    <w:pPr>
      <w:pStyle w:val="Antrats"/>
      <w:tabs>
        <w:tab w:val="left" w:pos="534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CD45F8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834A99A"/>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AFC219E"/>
    <w:lvl w:ilvl="0">
      <w:start w:val="1"/>
      <w:numFmt w:val="bullet"/>
      <w:pStyle w:val="Sraassuenkleliais4"/>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E024832"/>
    <w:lvl w:ilvl="0">
      <w:start w:val="1"/>
      <w:numFmt w:val="bullet"/>
      <w:pStyle w:val="Sraassuenkleliais3"/>
      <w:lvlText w:val=""/>
      <w:lvlJc w:val="left"/>
      <w:pPr>
        <w:tabs>
          <w:tab w:val="num" w:pos="360"/>
        </w:tabs>
        <w:ind w:left="360" w:hanging="360"/>
      </w:pPr>
      <w:rPr>
        <w:rFonts w:ascii="Symbol" w:hAnsi="Symbol" w:hint="default"/>
      </w:rPr>
    </w:lvl>
  </w:abstractNum>
  <w:abstractNum w:abstractNumId="4" w15:restartNumberingAfterBreak="0">
    <w:nsid w:val="02AD6666"/>
    <w:multiLevelType w:val="hybridMultilevel"/>
    <w:tmpl w:val="8946AFDE"/>
    <w:lvl w:ilvl="0" w:tplc="D0502192">
      <w:start w:val="1"/>
      <w:numFmt w:val="bullet"/>
      <w:pStyle w:val="Sraassuenkleliais"/>
      <w:lvlText w:val=""/>
      <w:lvlJc w:val="left"/>
      <w:pPr>
        <w:tabs>
          <w:tab w:val="num" w:pos="340"/>
        </w:tabs>
        <w:ind w:left="340" w:hanging="340"/>
      </w:pPr>
      <w:rPr>
        <w:rFonts w:ascii="Symbol" w:hAnsi="Symbol" w:hint="default"/>
        <w:sz w:val="22"/>
      </w:rPr>
    </w:lvl>
    <w:lvl w:ilvl="1" w:tplc="2A4863CE" w:tentative="1">
      <w:start w:val="1"/>
      <w:numFmt w:val="bullet"/>
      <w:lvlText w:val="o"/>
      <w:lvlJc w:val="left"/>
      <w:pPr>
        <w:tabs>
          <w:tab w:val="num" w:pos="1440"/>
        </w:tabs>
        <w:ind w:left="1440" w:hanging="360"/>
      </w:pPr>
      <w:rPr>
        <w:rFonts w:ascii="Courier New" w:hAnsi="Courier New" w:hint="default"/>
      </w:rPr>
    </w:lvl>
    <w:lvl w:ilvl="2" w:tplc="6CC8B844" w:tentative="1">
      <w:start w:val="1"/>
      <w:numFmt w:val="bullet"/>
      <w:lvlText w:val=""/>
      <w:lvlJc w:val="left"/>
      <w:pPr>
        <w:tabs>
          <w:tab w:val="num" w:pos="2160"/>
        </w:tabs>
        <w:ind w:left="2160" w:hanging="360"/>
      </w:pPr>
      <w:rPr>
        <w:rFonts w:ascii="Wingdings" w:hAnsi="Wingdings" w:hint="default"/>
      </w:rPr>
    </w:lvl>
    <w:lvl w:ilvl="3" w:tplc="8FD682FC" w:tentative="1">
      <w:start w:val="1"/>
      <w:numFmt w:val="bullet"/>
      <w:lvlText w:val=""/>
      <w:lvlJc w:val="left"/>
      <w:pPr>
        <w:tabs>
          <w:tab w:val="num" w:pos="2880"/>
        </w:tabs>
        <w:ind w:left="2880" w:hanging="360"/>
      </w:pPr>
      <w:rPr>
        <w:rFonts w:ascii="Symbol" w:hAnsi="Symbol" w:hint="default"/>
      </w:rPr>
    </w:lvl>
    <w:lvl w:ilvl="4" w:tplc="9A9005D4" w:tentative="1">
      <w:start w:val="1"/>
      <w:numFmt w:val="bullet"/>
      <w:lvlText w:val="o"/>
      <w:lvlJc w:val="left"/>
      <w:pPr>
        <w:tabs>
          <w:tab w:val="num" w:pos="3600"/>
        </w:tabs>
        <w:ind w:left="3600" w:hanging="360"/>
      </w:pPr>
      <w:rPr>
        <w:rFonts w:ascii="Courier New" w:hAnsi="Courier New" w:hint="default"/>
      </w:rPr>
    </w:lvl>
    <w:lvl w:ilvl="5" w:tplc="F64EC998" w:tentative="1">
      <w:start w:val="1"/>
      <w:numFmt w:val="bullet"/>
      <w:lvlText w:val=""/>
      <w:lvlJc w:val="left"/>
      <w:pPr>
        <w:tabs>
          <w:tab w:val="num" w:pos="4320"/>
        </w:tabs>
        <w:ind w:left="4320" w:hanging="360"/>
      </w:pPr>
      <w:rPr>
        <w:rFonts w:ascii="Wingdings" w:hAnsi="Wingdings" w:hint="default"/>
      </w:rPr>
    </w:lvl>
    <w:lvl w:ilvl="6" w:tplc="5810D9B2" w:tentative="1">
      <w:start w:val="1"/>
      <w:numFmt w:val="bullet"/>
      <w:lvlText w:val=""/>
      <w:lvlJc w:val="left"/>
      <w:pPr>
        <w:tabs>
          <w:tab w:val="num" w:pos="5040"/>
        </w:tabs>
        <w:ind w:left="5040" w:hanging="360"/>
      </w:pPr>
      <w:rPr>
        <w:rFonts w:ascii="Symbol" w:hAnsi="Symbol" w:hint="default"/>
      </w:rPr>
    </w:lvl>
    <w:lvl w:ilvl="7" w:tplc="2A6A730C" w:tentative="1">
      <w:start w:val="1"/>
      <w:numFmt w:val="bullet"/>
      <w:lvlText w:val="o"/>
      <w:lvlJc w:val="left"/>
      <w:pPr>
        <w:tabs>
          <w:tab w:val="num" w:pos="5760"/>
        </w:tabs>
        <w:ind w:left="5760" w:hanging="360"/>
      </w:pPr>
      <w:rPr>
        <w:rFonts w:ascii="Courier New" w:hAnsi="Courier New" w:hint="default"/>
      </w:rPr>
    </w:lvl>
    <w:lvl w:ilvl="8" w:tplc="1C7AC3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35412"/>
    <w:multiLevelType w:val="singleLevel"/>
    <w:tmpl w:val="AB30F568"/>
    <w:lvl w:ilvl="0">
      <w:start w:val="1"/>
      <w:numFmt w:val="decimal"/>
      <w:pStyle w:val="AANumbering"/>
      <w:lvlText w:val="%1."/>
      <w:lvlJc w:val="left"/>
      <w:pPr>
        <w:tabs>
          <w:tab w:val="num" w:pos="283"/>
        </w:tabs>
        <w:ind w:left="283" w:hanging="283"/>
      </w:pPr>
      <w:rPr>
        <w:rFonts w:cs="Times New Roman"/>
      </w:rPr>
    </w:lvl>
  </w:abstractNum>
  <w:abstractNum w:abstractNumId="6" w15:restartNumberingAfterBreak="0">
    <w:nsid w:val="341A74FA"/>
    <w:multiLevelType w:val="multilevel"/>
    <w:tmpl w:val="D4F09C78"/>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7" w15:restartNumberingAfterBreak="0">
    <w:nsid w:val="65ED050B"/>
    <w:multiLevelType w:val="multilevel"/>
    <w:tmpl w:val="5DDA08F6"/>
    <w:lvl w:ilvl="0">
      <w:start w:val="1"/>
      <w:numFmt w:val="decimal"/>
      <w:lvlText w:val="%1."/>
      <w:lvlJc w:val="left"/>
      <w:pPr>
        <w:ind w:left="850" w:hanging="567"/>
      </w:pPr>
      <w:rPr>
        <w:rFonts w:cs="Times New Roman" w:hint="default"/>
      </w:rPr>
    </w:lvl>
    <w:lvl w:ilvl="1">
      <w:start w:val="1"/>
      <w:numFmt w:val="decimal"/>
      <w:isLgl/>
      <w:lvlText w:val="%1.%2"/>
      <w:lvlJc w:val="left"/>
      <w:pPr>
        <w:ind w:left="567" w:hanging="567"/>
      </w:pPr>
      <w:rPr>
        <w:rFonts w:cs="Times New Roman" w:hint="default"/>
        <w:b/>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8" w15:restartNumberingAfterBreak="0">
    <w:nsid w:val="6C4030FF"/>
    <w:multiLevelType w:val="singleLevel"/>
    <w:tmpl w:val="E6E43430"/>
    <w:lvl w:ilvl="0">
      <w:start w:val="1"/>
      <w:numFmt w:val="bullet"/>
      <w:pStyle w:val="Sraassuenkleliais2"/>
      <w:lvlText w:val="-"/>
      <w:lvlJc w:val="left"/>
      <w:pPr>
        <w:tabs>
          <w:tab w:val="num" w:pos="680"/>
        </w:tabs>
        <w:ind w:left="680" w:hanging="340"/>
      </w:pPr>
      <w:rPr>
        <w:rFonts w:ascii="Times New Roman" w:hAnsi="Times New Roman"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8"/>
  </w:num>
  <w:num w:numId="16">
    <w:abstractNumId w:val="4"/>
  </w:num>
  <w:num w:numId="17">
    <w:abstractNumId w:val="5"/>
  </w:num>
  <w:num w:numId="18">
    <w:abstractNumId w:val="7"/>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andText" w:val="International Headquarters"/>
    <w:docVar w:name="CoName" w:val="UAB Al holdingas"/>
    <w:docVar w:name="FirmName" w:val="KPMG Baltics, UAB"/>
    <w:docVar w:name="Heading1PageBreaks" w:val="Off"/>
    <w:docVar w:name="KISDocType" w:val="Report"/>
    <w:docVar w:name="KISFilledIn" w:val="Y"/>
    <w:docVar w:name="KISVer" w:val="3.0"/>
    <w:docVar w:name="Num3Paras" w:val="No"/>
    <w:docVar w:name="OffIndex" w:val=" 0"/>
    <w:docVar w:name="OffName" w:val="Vilnius"/>
    <w:docVar w:name="Orientation" w:val="Portrait"/>
    <w:docVar w:name="ReportName" w:val="2012 metų finansinės ataskaitos"/>
    <w:docVar w:name="ReptStyle" w:val=" 2"/>
  </w:docVars>
  <w:rsids>
    <w:rsidRoot w:val="00FA5850"/>
    <w:rsid w:val="00001460"/>
    <w:rsid w:val="0000182E"/>
    <w:rsid w:val="00001B0C"/>
    <w:rsid w:val="00002555"/>
    <w:rsid w:val="00003ACE"/>
    <w:rsid w:val="00003FDF"/>
    <w:rsid w:val="00004168"/>
    <w:rsid w:val="00004F30"/>
    <w:rsid w:val="00005420"/>
    <w:rsid w:val="00005455"/>
    <w:rsid w:val="000059C4"/>
    <w:rsid w:val="00005DFE"/>
    <w:rsid w:val="000065AC"/>
    <w:rsid w:val="00007AE4"/>
    <w:rsid w:val="00010234"/>
    <w:rsid w:val="00010D1A"/>
    <w:rsid w:val="00011822"/>
    <w:rsid w:val="00011CCF"/>
    <w:rsid w:val="00012AF0"/>
    <w:rsid w:val="00013FE2"/>
    <w:rsid w:val="000140B5"/>
    <w:rsid w:val="00015384"/>
    <w:rsid w:val="00015B68"/>
    <w:rsid w:val="000167AE"/>
    <w:rsid w:val="000169E3"/>
    <w:rsid w:val="00020871"/>
    <w:rsid w:val="000208B5"/>
    <w:rsid w:val="00020927"/>
    <w:rsid w:val="00021225"/>
    <w:rsid w:val="00021640"/>
    <w:rsid w:val="000216C0"/>
    <w:rsid w:val="00021B9C"/>
    <w:rsid w:val="00021D44"/>
    <w:rsid w:val="00022140"/>
    <w:rsid w:val="0002317E"/>
    <w:rsid w:val="00023338"/>
    <w:rsid w:val="00023646"/>
    <w:rsid w:val="00023A68"/>
    <w:rsid w:val="00024506"/>
    <w:rsid w:val="000260D1"/>
    <w:rsid w:val="0002625B"/>
    <w:rsid w:val="00026CC9"/>
    <w:rsid w:val="00026EC5"/>
    <w:rsid w:val="000305C7"/>
    <w:rsid w:val="0003121B"/>
    <w:rsid w:val="0003154B"/>
    <w:rsid w:val="000318A1"/>
    <w:rsid w:val="000319B2"/>
    <w:rsid w:val="0003206F"/>
    <w:rsid w:val="00032A75"/>
    <w:rsid w:val="00033572"/>
    <w:rsid w:val="00033E41"/>
    <w:rsid w:val="00034297"/>
    <w:rsid w:val="0003536C"/>
    <w:rsid w:val="00035891"/>
    <w:rsid w:val="00035CC6"/>
    <w:rsid w:val="000360D0"/>
    <w:rsid w:val="00036BFB"/>
    <w:rsid w:val="00037020"/>
    <w:rsid w:val="00037AB6"/>
    <w:rsid w:val="00037AFD"/>
    <w:rsid w:val="00037C8E"/>
    <w:rsid w:val="000419EE"/>
    <w:rsid w:val="00041AD6"/>
    <w:rsid w:val="00042C68"/>
    <w:rsid w:val="00043397"/>
    <w:rsid w:val="0004446B"/>
    <w:rsid w:val="000446F7"/>
    <w:rsid w:val="00044DED"/>
    <w:rsid w:val="00045819"/>
    <w:rsid w:val="00045C13"/>
    <w:rsid w:val="000461BF"/>
    <w:rsid w:val="00046203"/>
    <w:rsid w:val="000462AE"/>
    <w:rsid w:val="000463BF"/>
    <w:rsid w:val="00046563"/>
    <w:rsid w:val="00046610"/>
    <w:rsid w:val="00046BB0"/>
    <w:rsid w:val="00046EDE"/>
    <w:rsid w:val="00046F54"/>
    <w:rsid w:val="0005042B"/>
    <w:rsid w:val="00050DC2"/>
    <w:rsid w:val="000515FA"/>
    <w:rsid w:val="0005280E"/>
    <w:rsid w:val="00053058"/>
    <w:rsid w:val="000536D5"/>
    <w:rsid w:val="000537B6"/>
    <w:rsid w:val="00053F1C"/>
    <w:rsid w:val="00054973"/>
    <w:rsid w:val="00055268"/>
    <w:rsid w:val="00056586"/>
    <w:rsid w:val="000565E1"/>
    <w:rsid w:val="00056B69"/>
    <w:rsid w:val="00056CA3"/>
    <w:rsid w:val="0005762E"/>
    <w:rsid w:val="00060BEC"/>
    <w:rsid w:val="000612A6"/>
    <w:rsid w:val="00061412"/>
    <w:rsid w:val="00062033"/>
    <w:rsid w:val="000622B6"/>
    <w:rsid w:val="000623EE"/>
    <w:rsid w:val="00063B85"/>
    <w:rsid w:val="000640BC"/>
    <w:rsid w:val="00065439"/>
    <w:rsid w:val="00065590"/>
    <w:rsid w:val="00065F3F"/>
    <w:rsid w:val="000669F9"/>
    <w:rsid w:val="00066A76"/>
    <w:rsid w:val="00070216"/>
    <w:rsid w:val="00071278"/>
    <w:rsid w:val="00071418"/>
    <w:rsid w:val="0007247D"/>
    <w:rsid w:val="00072BAB"/>
    <w:rsid w:val="000733F4"/>
    <w:rsid w:val="00073D25"/>
    <w:rsid w:val="00073DAE"/>
    <w:rsid w:val="000743B3"/>
    <w:rsid w:val="00074676"/>
    <w:rsid w:val="0007481D"/>
    <w:rsid w:val="000748A3"/>
    <w:rsid w:val="00074DAC"/>
    <w:rsid w:val="00074DC3"/>
    <w:rsid w:val="00075A86"/>
    <w:rsid w:val="00075F29"/>
    <w:rsid w:val="0007638C"/>
    <w:rsid w:val="000770F5"/>
    <w:rsid w:val="00077549"/>
    <w:rsid w:val="0007791C"/>
    <w:rsid w:val="0008172F"/>
    <w:rsid w:val="00082174"/>
    <w:rsid w:val="000823B5"/>
    <w:rsid w:val="00083DFD"/>
    <w:rsid w:val="00084DB4"/>
    <w:rsid w:val="00084F8E"/>
    <w:rsid w:val="0008626D"/>
    <w:rsid w:val="00086C7B"/>
    <w:rsid w:val="00087035"/>
    <w:rsid w:val="00090968"/>
    <w:rsid w:val="00090EF7"/>
    <w:rsid w:val="000916C6"/>
    <w:rsid w:val="00092061"/>
    <w:rsid w:val="000921E8"/>
    <w:rsid w:val="00093327"/>
    <w:rsid w:val="00093518"/>
    <w:rsid w:val="0009351D"/>
    <w:rsid w:val="000946AD"/>
    <w:rsid w:val="0009482B"/>
    <w:rsid w:val="00095AE9"/>
    <w:rsid w:val="00095E64"/>
    <w:rsid w:val="0009613F"/>
    <w:rsid w:val="00096C89"/>
    <w:rsid w:val="00096EAF"/>
    <w:rsid w:val="00097343"/>
    <w:rsid w:val="0009762D"/>
    <w:rsid w:val="000A092A"/>
    <w:rsid w:val="000A1003"/>
    <w:rsid w:val="000A1195"/>
    <w:rsid w:val="000A135B"/>
    <w:rsid w:val="000A18A6"/>
    <w:rsid w:val="000A2123"/>
    <w:rsid w:val="000A24F8"/>
    <w:rsid w:val="000A257F"/>
    <w:rsid w:val="000A2A5C"/>
    <w:rsid w:val="000A323E"/>
    <w:rsid w:val="000A35F5"/>
    <w:rsid w:val="000A3F9F"/>
    <w:rsid w:val="000A4030"/>
    <w:rsid w:val="000A4425"/>
    <w:rsid w:val="000A487A"/>
    <w:rsid w:val="000A4E9E"/>
    <w:rsid w:val="000A4F4E"/>
    <w:rsid w:val="000A7EBD"/>
    <w:rsid w:val="000B046D"/>
    <w:rsid w:val="000B06F1"/>
    <w:rsid w:val="000B07BE"/>
    <w:rsid w:val="000B09FD"/>
    <w:rsid w:val="000B0B53"/>
    <w:rsid w:val="000B13A6"/>
    <w:rsid w:val="000B1B42"/>
    <w:rsid w:val="000B1C9A"/>
    <w:rsid w:val="000B1FEA"/>
    <w:rsid w:val="000B21B0"/>
    <w:rsid w:val="000B2B83"/>
    <w:rsid w:val="000B4249"/>
    <w:rsid w:val="000B4C9E"/>
    <w:rsid w:val="000B52D8"/>
    <w:rsid w:val="000C1491"/>
    <w:rsid w:val="000C16FE"/>
    <w:rsid w:val="000C237D"/>
    <w:rsid w:val="000C2592"/>
    <w:rsid w:val="000C25F9"/>
    <w:rsid w:val="000C3890"/>
    <w:rsid w:val="000C3DB7"/>
    <w:rsid w:val="000C3FEA"/>
    <w:rsid w:val="000C4034"/>
    <w:rsid w:val="000C4067"/>
    <w:rsid w:val="000C438C"/>
    <w:rsid w:val="000C464C"/>
    <w:rsid w:val="000C4F1A"/>
    <w:rsid w:val="000C5A31"/>
    <w:rsid w:val="000C75AB"/>
    <w:rsid w:val="000D0323"/>
    <w:rsid w:val="000D069D"/>
    <w:rsid w:val="000D08BB"/>
    <w:rsid w:val="000D0940"/>
    <w:rsid w:val="000D0970"/>
    <w:rsid w:val="000D22F0"/>
    <w:rsid w:val="000D28D3"/>
    <w:rsid w:val="000D3016"/>
    <w:rsid w:val="000D3120"/>
    <w:rsid w:val="000D3503"/>
    <w:rsid w:val="000D381C"/>
    <w:rsid w:val="000D3F78"/>
    <w:rsid w:val="000D4094"/>
    <w:rsid w:val="000D4612"/>
    <w:rsid w:val="000D4967"/>
    <w:rsid w:val="000D4E18"/>
    <w:rsid w:val="000D4FB5"/>
    <w:rsid w:val="000D5BCA"/>
    <w:rsid w:val="000D5D80"/>
    <w:rsid w:val="000D5E6E"/>
    <w:rsid w:val="000D6E3F"/>
    <w:rsid w:val="000D70F5"/>
    <w:rsid w:val="000D7563"/>
    <w:rsid w:val="000D7B6E"/>
    <w:rsid w:val="000D7BFA"/>
    <w:rsid w:val="000D7C40"/>
    <w:rsid w:val="000E0011"/>
    <w:rsid w:val="000E148A"/>
    <w:rsid w:val="000E16A4"/>
    <w:rsid w:val="000E16DA"/>
    <w:rsid w:val="000E2059"/>
    <w:rsid w:val="000E24D7"/>
    <w:rsid w:val="000E2643"/>
    <w:rsid w:val="000E2AD4"/>
    <w:rsid w:val="000E2C73"/>
    <w:rsid w:val="000E38FF"/>
    <w:rsid w:val="000E3DC2"/>
    <w:rsid w:val="000E3FBF"/>
    <w:rsid w:val="000E44F2"/>
    <w:rsid w:val="000E5B88"/>
    <w:rsid w:val="000E6074"/>
    <w:rsid w:val="000E6828"/>
    <w:rsid w:val="000E6EAC"/>
    <w:rsid w:val="000E7178"/>
    <w:rsid w:val="000E79F7"/>
    <w:rsid w:val="000F0549"/>
    <w:rsid w:val="000F0CC5"/>
    <w:rsid w:val="000F0D3A"/>
    <w:rsid w:val="000F1965"/>
    <w:rsid w:val="000F2ED5"/>
    <w:rsid w:val="000F310E"/>
    <w:rsid w:val="000F33A9"/>
    <w:rsid w:val="000F38F5"/>
    <w:rsid w:val="000F50F9"/>
    <w:rsid w:val="000F57BA"/>
    <w:rsid w:val="000F5FC1"/>
    <w:rsid w:val="000F5FE2"/>
    <w:rsid w:val="000F60DF"/>
    <w:rsid w:val="000F6373"/>
    <w:rsid w:val="000F638E"/>
    <w:rsid w:val="000F6914"/>
    <w:rsid w:val="000F6E11"/>
    <w:rsid w:val="000F73EF"/>
    <w:rsid w:val="000F79B0"/>
    <w:rsid w:val="00100105"/>
    <w:rsid w:val="00100149"/>
    <w:rsid w:val="001014F3"/>
    <w:rsid w:val="00101E45"/>
    <w:rsid w:val="00102AD1"/>
    <w:rsid w:val="0010320F"/>
    <w:rsid w:val="00103230"/>
    <w:rsid w:val="0010368A"/>
    <w:rsid w:val="00105822"/>
    <w:rsid w:val="001062C2"/>
    <w:rsid w:val="001068F1"/>
    <w:rsid w:val="00106968"/>
    <w:rsid w:val="00106D17"/>
    <w:rsid w:val="00110515"/>
    <w:rsid w:val="0011098B"/>
    <w:rsid w:val="00111412"/>
    <w:rsid w:val="00111B86"/>
    <w:rsid w:val="00111EAB"/>
    <w:rsid w:val="001126BB"/>
    <w:rsid w:val="00112983"/>
    <w:rsid w:val="00113AB6"/>
    <w:rsid w:val="00113B6A"/>
    <w:rsid w:val="001146FB"/>
    <w:rsid w:val="00114C59"/>
    <w:rsid w:val="00115407"/>
    <w:rsid w:val="001157A1"/>
    <w:rsid w:val="00115DD4"/>
    <w:rsid w:val="001163E3"/>
    <w:rsid w:val="0012299A"/>
    <w:rsid w:val="00122B67"/>
    <w:rsid w:val="00123392"/>
    <w:rsid w:val="001237E9"/>
    <w:rsid w:val="00125315"/>
    <w:rsid w:val="00125CDA"/>
    <w:rsid w:val="00125CF1"/>
    <w:rsid w:val="001264BE"/>
    <w:rsid w:val="00126F16"/>
    <w:rsid w:val="00127479"/>
    <w:rsid w:val="00127724"/>
    <w:rsid w:val="001302E0"/>
    <w:rsid w:val="00130B38"/>
    <w:rsid w:val="00130C75"/>
    <w:rsid w:val="00130C84"/>
    <w:rsid w:val="001312EA"/>
    <w:rsid w:val="00131887"/>
    <w:rsid w:val="00131A40"/>
    <w:rsid w:val="00131F35"/>
    <w:rsid w:val="00132B47"/>
    <w:rsid w:val="00132DFC"/>
    <w:rsid w:val="001332C3"/>
    <w:rsid w:val="0013392A"/>
    <w:rsid w:val="0013461E"/>
    <w:rsid w:val="001348F7"/>
    <w:rsid w:val="00134D01"/>
    <w:rsid w:val="001353EA"/>
    <w:rsid w:val="0013590E"/>
    <w:rsid w:val="00135BE1"/>
    <w:rsid w:val="00136A3F"/>
    <w:rsid w:val="001407AF"/>
    <w:rsid w:val="00140C89"/>
    <w:rsid w:val="00141963"/>
    <w:rsid w:val="001431C6"/>
    <w:rsid w:val="00143609"/>
    <w:rsid w:val="0014381F"/>
    <w:rsid w:val="00143E6D"/>
    <w:rsid w:val="00143F47"/>
    <w:rsid w:val="00144819"/>
    <w:rsid w:val="001450AB"/>
    <w:rsid w:val="001456BB"/>
    <w:rsid w:val="00146850"/>
    <w:rsid w:val="00151B09"/>
    <w:rsid w:val="00152FA5"/>
    <w:rsid w:val="001534C9"/>
    <w:rsid w:val="00153754"/>
    <w:rsid w:val="00153C88"/>
    <w:rsid w:val="00154948"/>
    <w:rsid w:val="001563AB"/>
    <w:rsid w:val="00156999"/>
    <w:rsid w:val="00156B0F"/>
    <w:rsid w:val="001573BC"/>
    <w:rsid w:val="00157A70"/>
    <w:rsid w:val="00160498"/>
    <w:rsid w:val="00160D2F"/>
    <w:rsid w:val="00161B43"/>
    <w:rsid w:val="00161BA7"/>
    <w:rsid w:val="00161DD0"/>
    <w:rsid w:val="001627A6"/>
    <w:rsid w:val="00162846"/>
    <w:rsid w:val="00162F78"/>
    <w:rsid w:val="001632AA"/>
    <w:rsid w:val="001634C9"/>
    <w:rsid w:val="00163F6B"/>
    <w:rsid w:val="0016458F"/>
    <w:rsid w:val="0016528D"/>
    <w:rsid w:val="00165935"/>
    <w:rsid w:val="00165A5A"/>
    <w:rsid w:val="001670BD"/>
    <w:rsid w:val="00167B6E"/>
    <w:rsid w:val="001727F4"/>
    <w:rsid w:val="001729D2"/>
    <w:rsid w:val="0017323D"/>
    <w:rsid w:val="00173386"/>
    <w:rsid w:val="0017339C"/>
    <w:rsid w:val="00174452"/>
    <w:rsid w:val="00174C53"/>
    <w:rsid w:val="00175756"/>
    <w:rsid w:val="00175ECF"/>
    <w:rsid w:val="00175F1C"/>
    <w:rsid w:val="00177EEA"/>
    <w:rsid w:val="001801BA"/>
    <w:rsid w:val="0018030C"/>
    <w:rsid w:val="001803E5"/>
    <w:rsid w:val="00180C7F"/>
    <w:rsid w:val="00181365"/>
    <w:rsid w:val="001815F2"/>
    <w:rsid w:val="00181AEC"/>
    <w:rsid w:val="00181C64"/>
    <w:rsid w:val="00181E36"/>
    <w:rsid w:val="00181EBB"/>
    <w:rsid w:val="00182AF0"/>
    <w:rsid w:val="00182E11"/>
    <w:rsid w:val="00183166"/>
    <w:rsid w:val="00183383"/>
    <w:rsid w:val="00183632"/>
    <w:rsid w:val="00183750"/>
    <w:rsid w:val="0018403B"/>
    <w:rsid w:val="00184554"/>
    <w:rsid w:val="0018470E"/>
    <w:rsid w:val="001848F4"/>
    <w:rsid w:val="001849F8"/>
    <w:rsid w:val="0018553A"/>
    <w:rsid w:val="00187B50"/>
    <w:rsid w:val="00187EB4"/>
    <w:rsid w:val="001900B7"/>
    <w:rsid w:val="001904FB"/>
    <w:rsid w:val="001911CA"/>
    <w:rsid w:val="00191460"/>
    <w:rsid w:val="00191A00"/>
    <w:rsid w:val="00191AC0"/>
    <w:rsid w:val="001924F0"/>
    <w:rsid w:val="0019255C"/>
    <w:rsid w:val="001925BC"/>
    <w:rsid w:val="0019372B"/>
    <w:rsid w:val="00193B77"/>
    <w:rsid w:val="00193CA3"/>
    <w:rsid w:val="001941E7"/>
    <w:rsid w:val="00196106"/>
    <w:rsid w:val="00196154"/>
    <w:rsid w:val="0019651E"/>
    <w:rsid w:val="00196895"/>
    <w:rsid w:val="00197B5A"/>
    <w:rsid w:val="00197D82"/>
    <w:rsid w:val="001A05CE"/>
    <w:rsid w:val="001A08CC"/>
    <w:rsid w:val="001A18E2"/>
    <w:rsid w:val="001A2499"/>
    <w:rsid w:val="001A2C85"/>
    <w:rsid w:val="001A3702"/>
    <w:rsid w:val="001A3E25"/>
    <w:rsid w:val="001A3F00"/>
    <w:rsid w:val="001A4703"/>
    <w:rsid w:val="001A4BA0"/>
    <w:rsid w:val="001A54C6"/>
    <w:rsid w:val="001A553A"/>
    <w:rsid w:val="001A5805"/>
    <w:rsid w:val="001A6057"/>
    <w:rsid w:val="001A61F6"/>
    <w:rsid w:val="001A6C14"/>
    <w:rsid w:val="001A700A"/>
    <w:rsid w:val="001A7C19"/>
    <w:rsid w:val="001B033D"/>
    <w:rsid w:val="001B04BB"/>
    <w:rsid w:val="001B0700"/>
    <w:rsid w:val="001B0863"/>
    <w:rsid w:val="001B0A19"/>
    <w:rsid w:val="001B0D1E"/>
    <w:rsid w:val="001B1147"/>
    <w:rsid w:val="001B13B8"/>
    <w:rsid w:val="001B16C4"/>
    <w:rsid w:val="001B1E03"/>
    <w:rsid w:val="001B1F42"/>
    <w:rsid w:val="001B22A5"/>
    <w:rsid w:val="001B2FC0"/>
    <w:rsid w:val="001B3D48"/>
    <w:rsid w:val="001B4425"/>
    <w:rsid w:val="001B451B"/>
    <w:rsid w:val="001B5053"/>
    <w:rsid w:val="001B5873"/>
    <w:rsid w:val="001B651D"/>
    <w:rsid w:val="001B6524"/>
    <w:rsid w:val="001B6A4E"/>
    <w:rsid w:val="001B6F1B"/>
    <w:rsid w:val="001B7AE7"/>
    <w:rsid w:val="001C01AD"/>
    <w:rsid w:val="001C0577"/>
    <w:rsid w:val="001C1767"/>
    <w:rsid w:val="001C22B2"/>
    <w:rsid w:val="001C25C2"/>
    <w:rsid w:val="001C30BC"/>
    <w:rsid w:val="001C4306"/>
    <w:rsid w:val="001C4376"/>
    <w:rsid w:val="001C5402"/>
    <w:rsid w:val="001C541D"/>
    <w:rsid w:val="001C5620"/>
    <w:rsid w:val="001C6212"/>
    <w:rsid w:val="001C772C"/>
    <w:rsid w:val="001D183D"/>
    <w:rsid w:val="001D1CBC"/>
    <w:rsid w:val="001D1DD5"/>
    <w:rsid w:val="001D2D5C"/>
    <w:rsid w:val="001D2F4C"/>
    <w:rsid w:val="001D3029"/>
    <w:rsid w:val="001D4999"/>
    <w:rsid w:val="001D4DF1"/>
    <w:rsid w:val="001D516D"/>
    <w:rsid w:val="001D53C2"/>
    <w:rsid w:val="001D57F0"/>
    <w:rsid w:val="001D5DED"/>
    <w:rsid w:val="001D7661"/>
    <w:rsid w:val="001D7683"/>
    <w:rsid w:val="001D79D4"/>
    <w:rsid w:val="001E095F"/>
    <w:rsid w:val="001E0FE0"/>
    <w:rsid w:val="001E192E"/>
    <w:rsid w:val="001E1B20"/>
    <w:rsid w:val="001E1C55"/>
    <w:rsid w:val="001E1E9E"/>
    <w:rsid w:val="001E333C"/>
    <w:rsid w:val="001E34EB"/>
    <w:rsid w:val="001E3534"/>
    <w:rsid w:val="001E36A1"/>
    <w:rsid w:val="001E378A"/>
    <w:rsid w:val="001E416C"/>
    <w:rsid w:val="001E4434"/>
    <w:rsid w:val="001E4B41"/>
    <w:rsid w:val="001E5202"/>
    <w:rsid w:val="001E5A63"/>
    <w:rsid w:val="001E7DB5"/>
    <w:rsid w:val="001F04ED"/>
    <w:rsid w:val="001F0505"/>
    <w:rsid w:val="001F076B"/>
    <w:rsid w:val="001F0A24"/>
    <w:rsid w:val="001F1489"/>
    <w:rsid w:val="001F16D0"/>
    <w:rsid w:val="001F1972"/>
    <w:rsid w:val="001F1C08"/>
    <w:rsid w:val="001F218E"/>
    <w:rsid w:val="001F35CC"/>
    <w:rsid w:val="001F3F8E"/>
    <w:rsid w:val="001F4B69"/>
    <w:rsid w:val="001F4FFD"/>
    <w:rsid w:val="001F519A"/>
    <w:rsid w:val="001F55D1"/>
    <w:rsid w:val="001F57DC"/>
    <w:rsid w:val="001F6582"/>
    <w:rsid w:val="001F7D98"/>
    <w:rsid w:val="001F7DF9"/>
    <w:rsid w:val="002003F7"/>
    <w:rsid w:val="00200539"/>
    <w:rsid w:val="00200864"/>
    <w:rsid w:val="00201A59"/>
    <w:rsid w:val="00201D95"/>
    <w:rsid w:val="0020209A"/>
    <w:rsid w:val="00202DCC"/>
    <w:rsid w:val="00202ED3"/>
    <w:rsid w:val="00203477"/>
    <w:rsid w:val="00203589"/>
    <w:rsid w:val="00206857"/>
    <w:rsid w:val="00206F36"/>
    <w:rsid w:val="00207213"/>
    <w:rsid w:val="00210048"/>
    <w:rsid w:val="002118D8"/>
    <w:rsid w:val="0021197D"/>
    <w:rsid w:val="00211AF1"/>
    <w:rsid w:val="00211F7F"/>
    <w:rsid w:val="002122FF"/>
    <w:rsid w:val="0021333F"/>
    <w:rsid w:val="002137BE"/>
    <w:rsid w:val="00213D16"/>
    <w:rsid w:val="00213F7A"/>
    <w:rsid w:val="00214B7B"/>
    <w:rsid w:val="0021505C"/>
    <w:rsid w:val="002160F1"/>
    <w:rsid w:val="002163B2"/>
    <w:rsid w:val="002163F2"/>
    <w:rsid w:val="002166BD"/>
    <w:rsid w:val="0021753A"/>
    <w:rsid w:val="0022037A"/>
    <w:rsid w:val="002207E4"/>
    <w:rsid w:val="00220BAF"/>
    <w:rsid w:val="002213ED"/>
    <w:rsid w:val="002224E2"/>
    <w:rsid w:val="00222DAE"/>
    <w:rsid w:val="002232EF"/>
    <w:rsid w:val="002236F6"/>
    <w:rsid w:val="00223A21"/>
    <w:rsid w:val="00224027"/>
    <w:rsid w:val="002249AB"/>
    <w:rsid w:val="00225609"/>
    <w:rsid w:val="00225B93"/>
    <w:rsid w:val="00225F8B"/>
    <w:rsid w:val="00226508"/>
    <w:rsid w:val="002267AE"/>
    <w:rsid w:val="002270AF"/>
    <w:rsid w:val="00227541"/>
    <w:rsid w:val="00230BDB"/>
    <w:rsid w:val="00231A44"/>
    <w:rsid w:val="002327F2"/>
    <w:rsid w:val="002332DA"/>
    <w:rsid w:val="00233300"/>
    <w:rsid w:val="00233886"/>
    <w:rsid w:val="002338B3"/>
    <w:rsid w:val="002342E4"/>
    <w:rsid w:val="0023449C"/>
    <w:rsid w:val="002344F6"/>
    <w:rsid w:val="00234A56"/>
    <w:rsid w:val="00234A81"/>
    <w:rsid w:val="00234D06"/>
    <w:rsid w:val="00234F67"/>
    <w:rsid w:val="002350F2"/>
    <w:rsid w:val="00235C43"/>
    <w:rsid w:val="00235E8F"/>
    <w:rsid w:val="00235E9F"/>
    <w:rsid w:val="00236452"/>
    <w:rsid w:val="00236A99"/>
    <w:rsid w:val="0023748E"/>
    <w:rsid w:val="002376AA"/>
    <w:rsid w:val="00237772"/>
    <w:rsid w:val="00237807"/>
    <w:rsid w:val="00240CB2"/>
    <w:rsid w:val="00240DCD"/>
    <w:rsid w:val="002411B7"/>
    <w:rsid w:val="002423DB"/>
    <w:rsid w:val="002426C4"/>
    <w:rsid w:val="00242CA5"/>
    <w:rsid w:val="00244448"/>
    <w:rsid w:val="00244CEF"/>
    <w:rsid w:val="00244DD3"/>
    <w:rsid w:val="002468B7"/>
    <w:rsid w:val="00246CC4"/>
    <w:rsid w:val="00246D1B"/>
    <w:rsid w:val="00246D70"/>
    <w:rsid w:val="00246DCC"/>
    <w:rsid w:val="00247001"/>
    <w:rsid w:val="00247AA7"/>
    <w:rsid w:val="00247BF5"/>
    <w:rsid w:val="00250B05"/>
    <w:rsid w:val="002512AB"/>
    <w:rsid w:val="0025152A"/>
    <w:rsid w:val="00251CCE"/>
    <w:rsid w:val="00252458"/>
    <w:rsid w:val="002530D5"/>
    <w:rsid w:val="0025331D"/>
    <w:rsid w:val="002533C8"/>
    <w:rsid w:val="00253BB1"/>
    <w:rsid w:val="00254089"/>
    <w:rsid w:val="0025469F"/>
    <w:rsid w:val="00254E47"/>
    <w:rsid w:val="00255223"/>
    <w:rsid w:val="002555AD"/>
    <w:rsid w:val="0025587D"/>
    <w:rsid w:val="00255BBA"/>
    <w:rsid w:val="0025604F"/>
    <w:rsid w:val="00257624"/>
    <w:rsid w:val="00260408"/>
    <w:rsid w:val="002605FC"/>
    <w:rsid w:val="00260635"/>
    <w:rsid w:val="002613D8"/>
    <w:rsid w:val="00261AF5"/>
    <w:rsid w:val="00261DA1"/>
    <w:rsid w:val="00261F40"/>
    <w:rsid w:val="0026231B"/>
    <w:rsid w:val="002624FE"/>
    <w:rsid w:val="00262BD6"/>
    <w:rsid w:val="00262D02"/>
    <w:rsid w:val="002631C6"/>
    <w:rsid w:val="002633E0"/>
    <w:rsid w:val="0026378E"/>
    <w:rsid w:val="0026498E"/>
    <w:rsid w:val="0026644A"/>
    <w:rsid w:val="00266794"/>
    <w:rsid w:val="0026689E"/>
    <w:rsid w:val="00266B24"/>
    <w:rsid w:val="00266EC0"/>
    <w:rsid w:val="00267369"/>
    <w:rsid w:val="002676CF"/>
    <w:rsid w:val="00267D25"/>
    <w:rsid w:val="00267F96"/>
    <w:rsid w:val="00271D21"/>
    <w:rsid w:val="002722BB"/>
    <w:rsid w:val="00272458"/>
    <w:rsid w:val="00273258"/>
    <w:rsid w:val="002733F3"/>
    <w:rsid w:val="0027382E"/>
    <w:rsid w:val="00273C18"/>
    <w:rsid w:val="002749C5"/>
    <w:rsid w:val="00274DDA"/>
    <w:rsid w:val="002759E0"/>
    <w:rsid w:val="00275DA7"/>
    <w:rsid w:val="00276516"/>
    <w:rsid w:val="0027662B"/>
    <w:rsid w:val="00276E8B"/>
    <w:rsid w:val="00277255"/>
    <w:rsid w:val="00277C28"/>
    <w:rsid w:val="002800AD"/>
    <w:rsid w:val="002805B8"/>
    <w:rsid w:val="002811AA"/>
    <w:rsid w:val="0028132C"/>
    <w:rsid w:val="002820E5"/>
    <w:rsid w:val="002826C0"/>
    <w:rsid w:val="00282B5E"/>
    <w:rsid w:val="00282B9E"/>
    <w:rsid w:val="002836CA"/>
    <w:rsid w:val="002839C8"/>
    <w:rsid w:val="00285018"/>
    <w:rsid w:val="00285946"/>
    <w:rsid w:val="00285BC5"/>
    <w:rsid w:val="002867C0"/>
    <w:rsid w:val="00287640"/>
    <w:rsid w:val="00287976"/>
    <w:rsid w:val="002905FD"/>
    <w:rsid w:val="00291357"/>
    <w:rsid w:val="002913D2"/>
    <w:rsid w:val="00291632"/>
    <w:rsid w:val="00292AD4"/>
    <w:rsid w:val="002930AE"/>
    <w:rsid w:val="00293627"/>
    <w:rsid w:val="00293D8D"/>
    <w:rsid w:val="00293F07"/>
    <w:rsid w:val="00293FD9"/>
    <w:rsid w:val="00294B21"/>
    <w:rsid w:val="00294D49"/>
    <w:rsid w:val="00295007"/>
    <w:rsid w:val="0029576A"/>
    <w:rsid w:val="00295C69"/>
    <w:rsid w:val="00295C7D"/>
    <w:rsid w:val="00295D78"/>
    <w:rsid w:val="002964EC"/>
    <w:rsid w:val="0029677B"/>
    <w:rsid w:val="002971BB"/>
    <w:rsid w:val="002977A8"/>
    <w:rsid w:val="00297CF3"/>
    <w:rsid w:val="00297E3E"/>
    <w:rsid w:val="002A08B5"/>
    <w:rsid w:val="002A0CE9"/>
    <w:rsid w:val="002A1108"/>
    <w:rsid w:val="002A1395"/>
    <w:rsid w:val="002A174B"/>
    <w:rsid w:val="002A1BEB"/>
    <w:rsid w:val="002A21AB"/>
    <w:rsid w:val="002A22D9"/>
    <w:rsid w:val="002A250F"/>
    <w:rsid w:val="002A2F3D"/>
    <w:rsid w:val="002A3604"/>
    <w:rsid w:val="002A3E67"/>
    <w:rsid w:val="002A4286"/>
    <w:rsid w:val="002A48D4"/>
    <w:rsid w:val="002A4AD1"/>
    <w:rsid w:val="002A6E60"/>
    <w:rsid w:val="002A6F5B"/>
    <w:rsid w:val="002A7A1F"/>
    <w:rsid w:val="002A7A3F"/>
    <w:rsid w:val="002B12F5"/>
    <w:rsid w:val="002B180E"/>
    <w:rsid w:val="002B1811"/>
    <w:rsid w:val="002B18FB"/>
    <w:rsid w:val="002B1E5B"/>
    <w:rsid w:val="002B1EEA"/>
    <w:rsid w:val="002B22E7"/>
    <w:rsid w:val="002B27F1"/>
    <w:rsid w:val="002B38A6"/>
    <w:rsid w:val="002B49EF"/>
    <w:rsid w:val="002B4BC1"/>
    <w:rsid w:val="002B508D"/>
    <w:rsid w:val="002B5852"/>
    <w:rsid w:val="002B5935"/>
    <w:rsid w:val="002B60F5"/>
    <w:rsid w:val="002B6731"/>
    <w:rsid w:val="002C015E"/>
    <w:rsid w:val="002C02CF"/>
    <w:rsid w:val="002C02E8"/>
    <w:rsid w:val="002C0B49"/>
    <w:rsid w:val="002C0C47"/>
    <w:rsid w:val="002C0ED6"/>
    <w:rsid w:val="002C116A"/>
    <w:rsid w:val="002C18AB"/>
    <w:rsid w:val="002C2825"/>
    <w:rsid w:val="002C32B7"/>
    <w:rsid w:val="002C4097"/>
    <w:rsid w:val="002C4151"/>
    <w:rsid w:val="002C47FC"/>
    <w:rsid w:val="002C4DB1"/>
    <w:rsid w:val="002C51AA"/>
    <w:rsid w:val="002C576A"/>
    <w:rsid w:val="002C5EC0"/>
    <w:rsid w:val="002C60C7"/>
    <w:rsid w:val="002C6EC8"/>
    <w:rsid w:val="002C7042"/>
    <w:rsid w:val="002C7AD3"/>
    <w:rsid w:val="002C7C2C"/>
    <w:rsid w:val="002D098D"/>
    <w:rsid w:val="002D0AA8"/>
    <w:rsid w:val="002D10FB"/>
    <w:rsid w:val="002D1411"/>
    <w:rsid w:val="002D1760"/>
    <w:rsid w:val="002D20B3"/>
    <w:rsid w:val="002D2314"/>
    <w:rsid w:val="002D2A49"/>
    <w:rsid w:val="002D3407"/>
    <w:rsid w:val="002D3564"/>
    <w:rsid w:val="002D3587"/>
    <w:rsid w:val="002D4076"/>
    <w:rsid w:val="002D4155"/>
    <w:rsid w:val="002D417C"/>
    <w:rsid w:val="002D66C7"/>
    <w:rsid w:val="002D6E7F"/>
    <w:rsid w:val="002D791C"/>
    <w:rsid w:val="002D7E06"/>
    <w:rsid w:val="002E148B"/>
    <w:rsid w:val="002E1E04"/>
    <w:rsid w:val="002E2FB7"/>
    <w:rsid w:val="002E3446"/>
    <w:rsid w:val="002E3B44"/>
    <w:rsid w:val="002E3C86"/>
    <w:rsid w:val="002E42C3"/>
    <w:rsid w:val="002E4756"/>
    <w:rsid w:val="002E5287"/>
    <w:rsid w:val="002E53FF"/>
    <w:rsid w:val="002E617B"/>
    <w:rsid w:val="002E67F3"/>
    <w:rsid w:val="002E6EC7"/>
    <w:rsid w:val="002E71F5"/>
    <w:rsid w:val="002E72D4"/>
    <w:rsid w:val="002E7310"/>
    <w:rsid w:val="002E76BA"/>
    <w:rsid w:val="002E7A75"/>
    <w:rsid w:val="002E7AA6"/>
    <w:rsid w:val="002F021A"/>
    <w:rsid w:val="002F0360"/>
    <w:rsid w:val="002F298F"/>
    <w:rsid w:val="002F2B7A"/>
    <w:rsid w:val="002F2C7A"/>
    <w:rsid w:val="002F2DB6"/>
    <w:rsid w:val="002F30F1"/>
    <w:rsid w:val="002F349F"/>
    <w:rsid w:val="002F5B95"/>
    <w:rsid w:val="002F5D81"/>
    <w:rsid w:val="002F6134"/>
    <w:rsid w:val="002F6D21"/>
    <w:rsid w:val="002F729B"/>
    <w:rsid w:val="002F733E"/>
    <w:rsid w:val="00300438"/>
    <w:rsid w:val="003004A3"/>
    <w:rsid w:val="00300DBC"/>
    <w:rsid w:val="00300F6B"/>
    <w:rsid w:val="003015A6"/>
    <w:rsid w:val="0030213A"/>
    <w:rsid w:val="0030245B"/>
    <w:rsid w:val="00302E10"/>
    <w:rsid w:val="00304CDB"/>
    <w:rsid w:val="00304EE7"/>
    <w:rsid w:val="0030520A"/>
    <w:rsid w:val="00305567"/>
    <w:rsid w:val="00305599"/>
    <w:rsid w:val="00306B4D"/>
    <w:rsid w:val="00306F70"/>
    <w:rsid w:val="0030733A"/>
    <w:rsid w:val="00307BBE"/>
    <w:rsid w:val="00310970"/>
    <w:rsid w:val="00310E0B"/>
    <w:rsid w:val="00313534"/>
    <w:rsid w:val="003138E0"/>
    <w:rsid w:val="003138ED"/>
    <w:rsid w:val="00313B03"/>
    <w:rsid w:val="00314EF7"/>
    <w:rsid w:val="00315243"/>
    <w:rsid w:val="00315911"/>
    <w:rsid w:val="003162C0"/>
    <w:rsid w:val="00316743"/>
    <w:rsid w:val="00316D98"/>
    <w:rsid w:val="0031748D"/>
    <w:rsid w:val="00317AFB"/>
    <w:rsid w:val="00320364"/>
    <w:rsid w:val="003208A3"/>
    <w:rsid w:val="00320FC1"/>
    <w:rsid w:val="00321A43"/>
    <w:rsid w:val="00321A6E"/>
    <w:rsid w:val="003226F6"/>
    <w:rsid w:val="00323629"/>
    <w:rsid w:val="0032392D"/>
    <w:rsid w:val="00323B0A"/>
    <w:rsid w:val="00324D1A"/>
    <w:rsid w:val="0032549B"/>
    <w:rsid w:val="00325572"/>
    <w:rsid w:val="003258C4"/>
    <w:rsid w:val="003261F0"/>
    <w:rsid w:val="003265B8"/>
    <w:rsid w:val="003275A6"/>
    <w:rsid w:val="003304BF"/>
    <w:rsid w:val="00330DEF"/>
    <w:rsid w:val="003322F2"/>
    <w:rsid w:val="003329BB"/>
    <w:rsid w:val="00332E87"/>
    <w:rsid w:val="00332F89"/>
    <w:rsid w:val="00333261"/>
    <w:rsid w:val="003344A0"/>
    <w:rsid w:val="00334AC7"/>
    <w:rsid w:val="00334B4F"/>
    <w:rsid w:val="00334D5C"/>
    <w:rsid w:val="00334F7F"/>
    <w:rsid w:val="003357B0"/>
    <w:rsid w:val="00335DCF"/>
    <w:rsid w:val="003360D8"/>
    <w:rsid w:val="0033794B"/>
    <w:rsid w:val="00337995"/>
    <w:rsid w:val="00340458"/>
    <w:rsid w:val="003412F7"/>
    <w:rsid w:val="00341996"/>
    <w:rsid w:val="00342971"/>
    <w:rsid w:val="00343116"/>
    <w:rsid w:val="003434EA"/>
    <w:rsid w:val="00343ACB"/>
    <w:rsid w:val="003440FF"/>
    <w:rsid w:val="00344163"/>
    <w:rsid w:val="00344574"/>
    <w:rsid w:val="00344A7C"/>
    <w:rsid w:val="00345038"/>
    <w:rsid w:val="00345B71"/>
    <w:rsid w:val="00345FE2"/>
    <w:rsid w:val="003460EB"/>
    <w:rsid w:val="00346169"/>
    <w:rsid w:val="003474D8"/>
    <w:rsid w:val="00347A6C"/>
    <w:rsid w:val="003509D4"/>
    <w:rsid w:val="00350AAA"/>
    <w:rsid w:val="00350C32"/>
    <w:rsid w:val="00350FE0"/>
    <w:rsid w:val="0035116B"/>
    <w:rsid w:val="00352BEC"/>
    <w:rsid w:val="00352E6C"/>
    <w:rsid w:val="00353082"/>
    <w:rsid w:val="00353B34"/>
    <w:rsid w:val="003542B2"/>
    <w:rsid w:val="00356A8C"/>
    <w:rsid w:val="00356BAD"/>
    <w:rsid w:val="00356E8E"/>
    <w:rsid w:val="003573E9"/>
    <w:rsid w:val="00357796"/>
    <w:rsid w:val="0036038A"/>
    <w:rsid w:val="00360A77"/>
    <w:rsid w:val="003611D5"/>
    <w:rsid w:val="00361218"/>
    <w:rsid w:val="00361BA1"/>
    <w:rsid w:val="00361BD3"/>
    <w:rsid w:val="00361E27"/>
    <w:rsid w:val="00361E33"/>
    <w:rsid w:val="00361FEC"/>
    <w:rsid w:val="003620CD"/>
    <w:rsid w:val="0036251F"/>
    <w:rsid w:val="00362D16"/>
    <w:rsid w:val="00362DF9"/>
    <w:rsid w:val="00363361"/>
    <w:rsid w:val="00363EEA"/>
    <w:rsid w:val="00363F93"/>
    <w:rsid w:val="003643C0"/>
    <w:rsid w:val="00364633"/>
    <w:rsid w:val="0036479D"/>
    <w:rsid w:val="0036547D"/>
    <w:rsid w:val="00365901"/>
    <w:rsid w:val="00365A20"/>
    <w:rsid w:val="00365B17"/>
    <w:rsid w:val="00366AFD"/>
    <w:rsid w:val="00367ACF"/>
    <w:rsid w:val="003704D7"/>
    <w:rsid w:val="003704FE"/>
    <w:rsid w:val="00370871"/>
    <w:rsid w:val="00370B72"/>
    <w:rsid w:val="003727D5"/>
    <w:rsid w:val="003732C1"/>
    <w:rsid w:val="00373775"/>
    <w:rsid w:val="00374CC9"/>
    <w:rsid w:val="00374CDD"/>
    <w:rsid w:val="00375019"/>
    <w:rsid w:val="00375238"/>
    <w:rsid w:val="00375547"/>
    <w:rsid w:val="003764D8"/>
    <w:rsid w:val="003769B7"/>
    <w:rsid w:val="00376ACD"/>
    <w:rsid w:val="003771FC"/>
    <w:rsid w:val="00377735"/>
    <w:rsid w:val="0037778D"/>
    <w:rsid w:val="00377F49"/>
    <w:rsid w:val="0038013A"/>
    <w:rsid w:val="00380C3D"/>
    <w:rsid w:val="00380C58"/>
    <w:rsid w:val="003818B2"/>
    <w:rsid w:val="00381E86"/>
    <w:rsid w:val="00381FB0"/>
    <w:rsid w:val="00382546"/>
    <w:rsid w:val="0038325C"/>
    <w:rsid w:val="00383626"/>
    <w:rsid w:val="0038387C"/>
    <w:rsid w:val="0038432D"/>
    <w:rsid w:val="003847E7"/>
    <w:rsid w:val="003856EB"/>
    <w:rsid w:val="0038581C"/>
    <w:rsid w:val="003858FB"/>
    <w:rsid w:val="003869E8"/>
    <w:rsid w:val="00387D3A"/>
    <w:rsid w:val="00390172"/>
    <w:rsid w:val="00390501"/>
    <w:rsid w:val="00390B64"/>
    <w:rsid w:val="00391512"/>
    <w:rsid w:val="00391BA8"/>
    <w:rsid w:val="00392AF3"/>
    <w:rsid w:val="00393FB6"/>
    <w:rsid w:val="003941DD"/>
    <w:rsid w:val="00395580"/>
    <w:rsid w:val="00395E0C"/>
    <w:rsid w:val="00395F3E"/>
    <w:rsid w:val="003973C2"/>
    <w:rsid w:val="00397AB2"/>
    <w:rsid w:val="00397F8E"/>
    <w:rsid w:val="003A0298"/>
    <w:rsid w:val="003A0DEF"/>
    <w:rsid w:val="003A1762"/>
    <w:rsid w:val="003A1DDF"/>
    <w:rsid w:val="003A205E"/>
    <w:rsid w:val="003A2FA9"/>
    <w:rsid w:val="003A3E96"/>
    <w:rsid w:val="003A4C01"/>
    <w:rsid w:val="003A4D87"/>
    <w:rsid w:val="003A4D89"/>
    <w:rsid w:val="003A56A3"/>
    <w:rsid w:val="003A57B8"/>
    <w:rsid w:val="003A5DC1"/>
    <w:rsid w:val="003A5F31"/>
    <w:rsid w:val="003A6809"/>
    <w:rsid w:val="003A6B5F"/>
    <w:rsid w:val="003A6DC3"/>
    <w:rsid w:val="003A707D"/>
    <w:rsid w:val="003A72B4"/>
    <w:rsid w:val="003A745A"/>
    <w:rsid w:val="003B063E"/>
    <w:rsid w:val="003B0686"/>
    <w:rsid w:val="003B0A74"/>
    <w:rsid w:val="003B14ED"/>
    <w:rsid w:val="003B1CBB"/>
    <w:rsid w:val="003B294C"/>
    <w:rsid w:val="003B5BCC"/>
    <w:rsid w:val="003B7422"/>
    <w:rsid w:val="003B77DC"/>
    <w:rsid w:val="003B7A9D"/>
    <w:rsid w:val="003B7BAF"/>
    <w:rsid w:val="003C014B"/>
    <w:rsid w:val="003C0289"/>
    <w:rsid w:val="003C046A"/>
    <w:rsid w:val="003C0B21"/>
    <w:rsid w:val="003C16D6"/>
    <w:rsid w:val="003C2AA5"/>
    <w:rsid w:val="003C3AB5"/>
    <w:rsid w:val="003C3C73"/>
    <w:rsid w:val="003C3DAE"/>
    <w:rsid w:val="003C4BEB"/>
    <w:rsid w:val="003C54E9"/>
    <w:rsid w:val="003C57AF"/>
    <w:rsid w:val="003C5867"/>
    <w:rsid w:val="003C6557"/>
    <w:rsid w:val="003C753C"/>
    <w:rsid w:val="003C79F8"/>
    <w:rsid w:val="003C7FBD"/>
    <w:rsid w:val="003D008A"/>
    <w:rsid w:val="003D12C3"/>
    <w:rsid w:val="003D1416"/>
    <w:rsid w:val="003D1445"/>
    <w:rsid w:val="003D1688"/>
    <w:rsid w:val="003D17B2"/>
    <w:rsid w:val="003D1C55"/>
    <w:rsid w:val="003D1D5A"/>
    <w:rsid w:val="003D2587"/>
    <w:rsid w:val="003D27D4"/>
    <w:rsid w:val="003D3087"/>
    <w:rsid w:val="003D3227"/>
    <w:rsid w:val="003D35DD"/>
    <w:rsid w:val="003D3B2F"/>
    <w:rsid w:val="003D48EF"/>
    <w:rsid w:val="003D4DB5"/>
    <w:rsid w:val="003D5E29"/>
    <w:rsid w:val="003D6169"/>
    <w:rsid w:val="003D657F"/>
    <w:rsid w:val="003D6B3D"/>
    <w:rsid w:val="003D74E3"/>
    <w:rsid w:val="003D7E66"/>
    <w:rsid w:val="003E0368"/>
    <w:rsid w:val="003E07BE"/>
    <w:rsid w:val="003E0C1C"/>
    <w:rsid w:val="003E1391"/>
    <w:rsid w:val="003E190F"/>
    <w:rsid w:val="003E3565"/>
    <w:rsid w:val="003E3915"/>
    <w:rsid w:val="003E40E2"/>
    <w:rsid w:val="003E5139"/>
    <w:rsid w:val="003E51DF"/>
    <w:rsid w:val="003E6748"/>
    <w:rsid w:val="003E6AF6"/>
    <w:rsid w:val="003E703C"/>
    <w:rsid w:val="003E73D1"/>
    <w:rsid w:val="003F0EB3"/>
    <w:rsid w:val="003F10D5"/>
    <w:rsid w:val="003F1E53"/>
    <w:rsid w:val="003F2F83"/>
    <w:rsid w:val="003F2FB4"/>
    <w:rsid w:val="003F346C"/>
    <w:rsid w:val="003F37F8"/>
    <w:rsid w:val="003F391B"/>
    <w:rsid w:val="003F46DD"/>
    <w:rsid w:val="003F5041"/>
    <w:rsid w:val="003F55D5"/>
    <w:rsid w:val="003F5EA5"/>
    <w:rsid w:val="003F633E"/>
    <w:rsid w:val="003F7424"/>
    <w:rsid w:val="00401B3F"/>
    <w:rsid w:val="00402177"/>
    <w:rsid w:val="00402995"/>
    <w:rsid w:val="00402CF8"/>
    <w:rsid w:val="00403320"/>
    <w:rsid w:val="0040363C"/>
    <w:rsid w:val="00403D7B"/>
    <w:rsid w:val="0040462A"/>
    <w:rsid w:val="00404D99"/>
    <w:rsid w:val="0040569E"/>
    <w:rsid w:val="00406675"/>
    <w:rsid w:val="00406744"/>
    <w:rsid w:val="00406E2E"/>
    <w:rsid w:val="00407107"/>
    <w:rsid w:val="004106B1"/>
    <w:rsid w:val="00410A78"/>
    <w:rsid w:val="00411460"/>
    <w:rsid w:val="0041146B"/>
    <w:rsid w:val="004117D8"/>
    <w:rsid w:val="00411A43"/>
    <w:rsid w:val="00413381"/>
    <w:rsid w:val="004139B7"/>
    <w:rsid w:val="00413AC4"/>
    <w:rsid w:val="00413D2C"/>
    <w:rsid w:val="004142B2"/>
    <w:rsid w:val="004145BE"/>
    <w:rsid w:val="004147B2"/>
    <w:rsid w:val="00414CA6"/>
    <w:rsid w:val="00415159"/>
    <w:rsid w:val="00415E23"/>
    <w:rsid w:val="00415EF9"/>
    <w:rsid w:val="004160BC"/>
    <w:rsid w:val="00416637"/>
    <w:rsid w:val="004168D9"/>
    <w:rsid w:val="00416973"/>
    <w:rsid w:val="00416A6B"/>
    <w:rsid w:val="004206D8"/>
    <w:rsid w:val="00420F1C"/>
    <w:rsid w:val="004210E6"/>
    <w:rsid w:val="00422BA2"/>
    <w:rsid w:val="00423786"/>
    <w:rsid w:val="004239EE"/>
    <w:rsid w:val="00424F06"/>
    <w:rsid w:val="004250D7"/>
    <w:rsid w:val="004254BF"/>
    <w:rsid w:val="00425C57"/>
    <w:rsid w:val="00425D02"/>
    <w:rsid w:val="00425EB4"/>
    <w:rsid w:val="00425F2C"/>
    <w:rsid w:val="00425F93"/>
    <w:rsid w:val="004261E0"/>
    <w:rsid w:val="00426295"/>
    <w:rsid w:val="004262E3"/>
    <w:rsid w:val="0042655F"/>
    <w:rsid w:val="00426E72"/>
    <w:rsid w:val="00427BF2"/>
    <w:rsid w:val="00427C3A"/>
    <w:rsid w:val="00427FD4"/>
    <w:rsid w:val="00430229"/>
    <w:rsid w:val="00430C6C"/>
    <w:rsid w:val="00430DBB"/>
    <w:rsid w:val="00430F9E"/>
    <w:rsid w:val="004311F0"/>
    <w:rsid w:val="00432661"/>
    <w:rsid w:val="0043346E"/>
    <w:rsid w:val="00433BF9"/>
    <w:rsid w:val="004348EC"/>
    <w:rsid w:val="00434CBC"/>
    <w:rsid w:val="0043578B"/>
    <w:rsid w:val="004357F8"/>
    <w:rsid w:val="0043636F"/>
    <w:rsid w:val="004374D8"/>
    <w:rsid w:val="004405FB"/>
    <w:rsid w:val="004409C0"/>
    <w:rsid w:val="00440BC6"/>
    <w:rsid w:val="00441D36"/>
    <w:rsid w:val="004421AF"/>
    <w:rsid w:val="00442863"/>
    <w:rsid w:val="00442ACA"/>
    <w:rsid w:val="0044326B"/>
    <w:rsid w:val="00443F18"/>
    <w:rsid w:val="0044412B"/>
    <w:rsid w:val="00445552"/>
    <w:rsid w:val="004463FE"/>
    <w:rsid w:val="0044660F"/>
    <w:rsid w:val="004466D0"/>
    <w:rsid w:val="004468C4"/>
    <w:rsid w:val="0044798A"/>
    <w:rsid w:val="00447D8E"/>
    <w:rsid w:val="004508E0"/>
    <w:rsid w:val="004518E5"/>
    <w:rsid w:val="00451D83"/>
    <w:rsid w:val="004529F8"/>
    <w:rsid w:val="00453256"/>
    <w:rsid w:val="004533EF"/>
    <w:rsid w:val="00453BCD"/>
    <w:rsid w:val="00453E14"/>
    <w:rsid w:val="004545A7"/>
    <w:rsid w:val="00455AC0"/>
    <w:rsid w:val="00455F44"/>
    <w:rsid w:val="00455FF9"/>
    <w:rsid w:val="00456AD3"/>
    <w:rsid w:val="004571D4"/>
    <w:rsid w:val="00457D33"/>
    <w:rsid w:val="004606B4"/>
    <w:rsid w:val="004618D9"/>
    <w:rsid w:val="004618ED"/>
    <w:rsid w:val="00462523"/>
    <w:rsid w:val="00462AFB"/>
    <w:rsid w:val="004635E1"/>
    <w:rsid w:val="00463E99"/>
    <w:rsid w:val="00464CD4"/>
    <w:rsid w:val="00466C09"/>
    <w:rsid w:val="00466C6C"/>
    <w:rsid w:val="00466D1B"/>
    <w:rsid w:val="00467350"/>
    <w:rsid w:val="00467814"/>
    <w:rsid w:val="00467BD2"/>
    <w:rsid w:val="00467C85"/>
    <w:rsid w:val="0047168F"/>
    <w:rsid w:val="00471E69"/>
    <w:rsid w:val="00473E2D"/>
    <w:rsid w:val="00474444"/>
    <w:rsid w:val="00474629"/>
    <w:rsid w:val="00474860"/>
    <w:rsid w:val="00474A20"/>
    <w:rsid w:val="00474A33"/>
    <w:rsid w:val="00474DD3"/>
    <w:rsid w:val="00475812"/>
    <w:rsid w:val="00475B14"/>
    <w:rsid w:val="00476C96"/>
    <w:rsid w:val="00476D53"/>
    <w:rsid w:val="00477203"/>
    <w:rsid w:val="00477524"/>
    <w:rsid w:val="004776DB"/>
    <w:rsid w:val="00477E2E"/>
    <w:rsid w:val="004801D2"/>
    <w:rsid w:val="0048025D"/>
    <w:rsid w:val="0048040E"/>
    <w:rsid w:val="0048187C"/>
    <w:rsid w:val="00482AF0"/>
    <w:rsid w:val="00482D1F"/>
    <w:rsid w:val="00482DCD"/>
    <w:rsid w:val="004833C7"/>
    <w:rsid w:val="00483BD4"/>
    <w:rsid w:val="00484D02"/>
    <w:rsid w:val="0048555E"/>
    <w:rsid w:val="00485716"/>
    <w:rsid w:val="004859CE"/>
    <w:rsid w:val="004866D2"/>
    <w:rsid w:val="00486B97"/>
    <w:rsid w:val="00486E58"/>
    <w:rsid w:val="004874A8"/>
    <w:rsid w:val="004875AE"/>
    <w:rsid w:val="004878A0"/>
    <w:rsid w:val="00487A90"/>
    <w:rsid w:val="00487B6B"/>
    <w:rsid w:val="00487C51"/>
    <w:rsid w:val="00487C8A"/>
    <w:rsid w:val="00487F3D"/>
    <w:rsid w:val="00492509"/>
    <w:rsid w:val="00492C32"/>
    <w:rsid w:val="00493A05"/>
    <w:rsid w:val="00493B93"/>
    <w:rsid w:val="00493E7A"/>
    <w:rsid w:val="004947AF"/>
    <w:rsid w:val="00495373"/>
    <w:rsid w:val="00495379"/>
    <w:rsid w:val="004954C9"/>
    <w:rsid w:val="0049558B"/>
    <w:rsid w:val="004961AA"/>
    <w:rsid w:val="004964D8"/>
    <w:rsid w:val="004977CC"/>
    <w:rsid w:val="00497C8F"/>
    <w:rsid w:val="004A089E"/>
    <w:rsid w:val="004A14C7"/>
    <w:rsid w:val="004A1663"/>
    <w:rsid w:val="004A1E56"/>
    <w:rsid w:val="004A290C"/>
    <w:rsid w:val="004A2A5E"/>
    <w:rsid w:val="004A2C66"/>
    <w:rsid w:val="004A3613"/>
    <w:rsid w:val="004A379F"/>
    <w:rsid w:val="004A380D"/>
    <w:rsid w:val="004A3A8F"/>
    <w:rsid w:val="004A4116"/>
    <w:rsid w:val="004A4F71"/>
    <w:rsid w:val="004A50C1"/>
    <w:rsid w:val="004A5BDF"/>
    <w:rsid w:val="004A5E17"/>
    <w:rsid w:val="004A680A"/>
    <w:rsid w:val="004A7983"/>
    <w:rsid w:val="004B00FE"/>
    <w:rsid w:val="004B122A"/>
    <w:rsid w:val="004B21A8"/>
    <w:rsid w:val="004B2A3E"/>
    <w:rsid w:val="004B39D2"/>
    <w:rsid w:val="004B3F90"/>
    <w:rsid w:val="004B5345"/>
    <w:rsid w:val="004B537B"/>
    <w:rsid w:val="004B581D"/>
    <w:rsid w:val="004B5CA6"/>
    <w:rsid w:val="004B5EA8"/>
    <w:rsid w:val="004B63AD"/>
    <w:rsid w:val="004B6530"/>
    <w:rsid w:val="004B6710"/>
    <w:rsid w:val="004B694D"/>
    <w:rsid w:val="004B7379"/>
    <w:rsid w:val="004C129B"/>
    <w:rsid w:val="004C1752"/>
    <w:rsid w:val="004C2159"/>
    <w:rsid w:val="004C2828"/>
    <w:rsid w:val="004C3D53"/>
    <w:rsid w:val="004C49CB"/>
    <w:rsid w:val="004C5049"/>
    <w:rsid w:val="004C6061"/>
    <w:rsid w:val="004C65CF"/>
    <w:rsid w:val="004C6731"/>
    <w:rsid w:val="004C690E"/>
    <w:rsid w:val="004C6DD7"/>
    <w:rsid w:val="004C7479"/>
    <w:rsid w:val="004C75DE"/>
    <w:rsid w:val="004D0559"/>
    <w:rsid w:val="004D1F33"/>
    <w:rsid w:val="004D2833"/>
    <w:rsid w:val="004D3371"/>
    <w:rsid w:val="004D36BE"/>
    <w:rsid w:val="004D3744"/>
    <w:rsid w:val="004D40CA"/>
    <w:rsid w:val="004D4753"/>
    <w:rsid w:val="004D4895"/>
    <w:rsid w:val="004D4CB7"/>
    <w:rsid w:val="004D4E94"/>
    <w:rsid w:val="004D5666"/>
    <w:rsid w:val="004D633C"/>
    <w:rsid w:val="004D6B69"/>
    <w:rsid w:val="004D6D0E"/>
    <w:rsid w:val="004D7BEC"/>
    <w:rsid w:val="004E03BD"/>
    <w:rsid w:val="004E0D5D"/>
    <w:rsid w:val="004E0F00"/>
    <w:rsid w:val="004E0FF4"/>
    <w:rsid w:val="004E1E39"/>
    <w:rsid w:val="004E1EFD"/>
    <w:rsid w:val="004E1FFE"/>
    <w:rsid w:val="004E2908"/>
    <w:rsid w:val="004E2CA9"/>
    <w:rsid w:val="004E3669"/>
    <w:rsid w:val="004E438B"/>
    <w:rsid w:val="004E43EA"/>
    <w:rsid w:val="004E4C48"/>
    <w:rsid w:val="004E4C92"/>
    <w:rsid w:val="004E565C"/>
    <w:rsid w:val="004E6428"/>
    <w:rsid w:val="004E68CA"/>
    <w:rsid w:val="004E695E"/>
    <w:rsid w:val="004E7076"/>
    <w:rsid w:val="004E753B"/>
    <w:rsid w:val="004E756B"/>
    <w:rsid w:val="004E75AC"/>
    <w:rsid w:val="004E7C6A"/>
    <w:rsid w:val="004F0CF8"/>
    <w:rsid w:val="004F20A7"/>
    <w:rsid w:val="004F2956"/>
    <w:rsid w:val="004F29CB"/>
    <w:rsid w:val="004F3060"/>
    <w:rsid w:val="004F3C4C"/>
    <w:rsid w:val="004F3DE8"/>
    <w:rsid w:val="004F4321"/>
    <w:rsid w:val="004F4F7C"/>
    <w:rsid w:val="004F5637"/>
    <w:rsid w:val="004F6649"/>
    <w:rsid w:val="004F6DB0"/>
    <w:rsid w:val="004F6F11"/>
    <w:rsid w:val="004F704C"/>
    <w:rsid w:val="004F717B"/>
    <w:rsid w:val="004F7F10"/>
    <w:rsid w:val="00500ABC"/>
    <w:rsid w:val="00501B6A"/>
    <w:rsid w:val="00502269"/>
    <w:rsid w:val="0050239B"/>
    <w:rsid w:val="00503390"/>
    <w:rsid w:val="005039C2"/>
    <w:rsid w:val="005040B8"/>
    <w:rsid w:val="005043A4"/>
    <w:rsid w:val="005047A2"/>
    <w:rsid w:val="00504B7F"/>
    <w:rsid w:val="00505F9A"/>
    <w:rsid w:val="005068D3"/>
    <w:rsid w:val="00506C6A"/>
    <w:rsid w:val="00506F2F"/>
    <w:rsid w:val="00507221"/>
    <w:rsid w:val="00507741"/>
    <w:rsid w:val="005079E8"/>
    <w:rsid w:val="00507A6E"/>
    <w:rsid w:val="005103D2"/>
    <w:rsid w:val="00511542"/>
    <w:rsid w:val="00511940"/>
    <w:rsid w:val="00511BC3"/>
    <w:rsid w:val="00511D48"/>
    <w:rsid w:val="005122F4"/>
    <w:rsid w:val="00512481"/>
    <w:rsid w:val="00512AD7"/>
    <w:rsid w:val="00512B98"/>
    <w:rsid w:val="005131D5"/>
    <w:rsid w:val="00513484"/>
    <w:rsid w:val="00513DD7"/>
    <w:rsid w:val="005143BB"/>
    <w:rsid w:val="00514851"/>
    <w:rsid w:val="0051539C"/>
    <w:rsid w:val="00515DBA"/>
    <w:rsid w:val="00515FBA"/>
    <w:rsid w:val="00517826"/>
    <w:rsid w:val="0052018C"/>
    <w:rsid w:val="0052059E"/>
    <w:rsid w:val="00520779"/>
    <w:rsid w:val="00520A1D"/>
    <w:rsid w:val="00520B89"/>
    <w:rsid w:val="0052141C"/>
    <w:rsid w:val="0052259E"/>
    <w:rsid w:val="00522648"/>
    <w:rsid w:val="005231BE"/>
    <w:rsid w:val="005245A7"/>
    <w:rsid w:val="00524761"/>
    <w:rsid w:val="00524772"/>
    <w:rsid w:val="00524E70"/>
    <w:rsid w:val="005251BE"/>
    <w:rsid w:val="0052556C"/>
    <w:rsid w:val="00525F36"/>
    <w:rsid w:val="00526055"/>
    <w:rsid w:val="00526535"/>
    <w:rsid w:val="00526C19"/>
    <w:rsid w:val="00526FB2"/>
    <w:rsid w:val="0052764A"/>
    <w:rsid w:val="00527AD7"/>
    <w:rsid w:val="00527D05"/>
    <w:rsid w:val="00530B54"/>
    <w:rsid w:val="00530B6D"/>
    <w:rsid w:val="00530CD8"/>
    <w:rsid w:val="00531C78"/>
    <w:rsid w:val="00531DCE"/>
    <w:rsid w:val="005328B7"/>
    <w:rsid w:val="00532BDE"/>
    <w:rsid w:val="005332C8"/>
    <w:rsid w:val="005333A4"/>
    <w:rsid w:val="00533A23"/>
    <w:rsid w:val="005350D9"/>
    <w:rsid w:val="00536D28"/>
    <w:rsid w:val="0053769A"/>
    <w:rsid w:val="00537E5E"/>
    <w:rsid w:val="005400AA"/>
    <w:rsid w:val="005410B5"/>
    <w:rsid w:val="005410FD"/>
    <w:rsid w:val="0054242C"/>
    <w:rsid w:val="005427C0"/>
    <w:rsid w:val="00542A22"/>
    <w:rsid w:val="00542A56"/>
    <w:rsid w:val="00542A69"/>
    <w:rsid w:val="0054422D"/>
    <w:rsid w:val="005442CD"/>
    <w:rsid w:val="00545774"/>
    <w:rsid w:val="00545FEB"/>
    <w:rsid w:val="005466FB"/>
    <w:rsid w:val="005467CA"/>
    <w:rsid w:val="00546977"/>
    <w:rsid w:val="00547DC1"/>
    <w:rsid w:val="00547F2D"/>
    <w:rsid w:val="00547F35"/>
    <w:rsid w:val="00550333"/>
    <w:rsid w:val="00550C9B"/>
    <w:rsid w:val="00550D8C"/>
    <w:rsid w:val="00550D96"/>
    <w:rsid w:val="0055111E"/>
    <w:rsid w:val="00551633"/>
    <w:rsid w:val="00551D06"/>
    <w:rsid w:val="00551F27"/>
    <w:rsid w:val="005521B3"/>
    <w:rsid w:val="00552AD6"/>
    <w:rsid w:val="0055307F"/>
    <w:rsid w:val="0055463B"/>
    <w:rsid w:val="00554E2E"/>
    <w:rsid w:val="00554F4C"/>
    <w:rsid w:val="00555052"/>
    <w:rsid w:val="00555101"/>
    <w:rsid w:val="00555281"/>
    <w:rsid w:val="0055583A"/>
    <w:rsid w:val="005559D0"/>
    <w:rsid w:val="00555C8B"/>
    <w:rsid w:val="005560F2"/>
    <w:rsid w:val="00556BB0"/>
    <w:rsid w:val="005606C5"/>
    <w:rsid w:val="00560B10"/>
    <w:rsid w:val="005612D6"/>
    <w:rsid w:val="005614E9"/>
    <w:rsid w:val="00561F30"/>
    <w:rsid w:val="005626EF"/>
    <w:rsid w:val="005627AA"/>
    <w:rsid w:val="00563276"/>
    <w:rsid w:val="00563446"/>
    <w:rsid w:val="00563869"/>
    <w:rsid w:val="00564CA4"/>
    <w:rsid w:val="00564D76"/>
    <w:rsid w:val="00565124"/>
    <w:rsid w:val="00565265"/>
    <w:rsid w:val="0056569E"/>
    <w:rsid w:val="00566166"/>
    <w:rsid w:val="005668F2"/>
    <w:rsid w:val="00566A3A"/>
    <w:rsid w:val="00570240"/>
    <w:rsid w:val="00570BE1"/>
    <w:rsid w:val="00570EB1"/>
    <w:rsid w:val="00571664"/>
    <w:rsid w:val="0057179A"/>
    <w:rsid w:val="0057264E"/>
    <w:rsid w:val="0057342C"/>
    <w:rsid w:val="00574B71"/>
    <w:rsid w:val="00575155"/>
    <w:rsid w:val="0057524D"/>
    <w:rsid w:val="005752D0"/>
    <w:rsid w:val="00575880"/>
    <w:rsid w:val="0057622E"/>
    <w:rsid w:val="00576552"/>
    <w:rsid w:val="00576585"/>
    <w:rsid w:val="00576C27"/>
    <w:rsid w:val="00576E04"/>
    <w:rsid w:val="00577D18"/>
    <w:rsid w:val="00577E43"/>
    <w:rsid w:val="00577F99"/>
    <w:rsid w:val="005802C4"/>
    <w:rsid w:val="0058037F"/>
    <w:rsid w:val="005803BA"/>
    <w:rsid w:val="00580569"/>
    <w:rsid w:val="00580955"/>
    <w:rsid w:val="00580E49"/>
    <w:rsid w:val="0058167D"/>
    <w:rsid w:val="00581ED2"/>
    <w:rsid w:val="005825C9"/>
    <w:rsid w:val="00582A80"/>
    <w:rsid w:val="00582D22"/>
    <w:rsid w:val="005830F7"/>
    <w:rsid w:val="005831E8"/>
    <w:rsid w:val="005831F6"/>
    <w:rsid w:val="00583534"/>
    <w:rsid w:val="00584388"/>
    <w:rsid w:val="005844F3"/>
    <w:rsid w:val="005846F4"/>
    <w:rsid w:val="005855E5"/>
    <w:rsid w:val="00585D94"/>
    <w:rsid w:val="00585FF2"/>
    <w:rsid w:val="0058656F"/>
    <w:rsid w:val="0058709E"/>
    <w:rsid w:val="00587359"/>
    <w:rsid w:val="00587B5F"/>
    <w:rsid w:val="00587CA1"/>
    <w:rsid w:val="00587D58"/>
    <w:rsid w:val="005904D1"/>
    <w:rsid w:val="00590B7F"/>
    <w:rsid w:val="0059253E"/>
    <w:rsid w:val="0059277F"/>
    <w:rsid w:val="00592DFA"/>
    <w:rsid w:val="005931AC"/>
    <w:rsid w:val="00594033"/>
    <w:rsid w:val="005942D1"/>
    <w:rsid w:val="00594986"/>
    <w:rsid w:val="00594F71"/>
    <w:rsid w:val="00595644"/>
    <w:rsid w:val="00595D91"/>
    <w:rsid w:val="00595E9E"/>
    <w:rsid w:val="00595F27"/>
    <w:rsid w:val="00596559"/>
    <w:rsid w:val="0059696A"/>
    <w:rsid w:val="00596BB6"/>
    <w:rsid w:val="00596E1D"/>
    <w:rsid w:val="00597425"/>
    <w:rsid w:val="005A0286"/>
    <w:rsid w:val="005A0383"/>
    <w:rsid w:val="005A06DE"/>
    <w:rsid w:val="005A0EE1"/>
    <w:rsid w:val="005A1B0B"/>
    <w:rsid w:val="005A1C22"/>
    <w:rsid w:val="005A2508"/>
    <w:rsid w:val="005A3EC2"/>
    <w:rsid w:val="005A461F"/>
    <w:rsid w:val="005A4A58"/>
    <w:rsid w:val="005A4E4F"/>
    <w:rsid w:val="005A4FF1"/>
    <w:rsid w:val="005A55A4"/>
    <w:rsid w:val="005A5990"/>
    <w:rsid w:val="005A5CA2"/>
    <w:rsid w:val="005A5FBD"/>
    <w:rsid w:val="005A64C2"/>
    <w:rsid w:val="005A6A4A"/>
    <w:rsid w:val="005A6CE4"/>
    <w:rsid w:val="005A6DF8"/>
    <w:rsid w:val="005A76BE"/>
    <w:rsid w:val="005A76CC"/>
    <w:rsid w:val="005A7945"/>
    <w:rsid w:val="005A7F4C"/>
    <w:rsid w:val="005B0A53"/>
    <w:rsid w:val="005B0A8E"/>
    <w:rsid w:val="005B10D9"/>
    <w:rsid w:val="005B1365"/>
    <w:rsid w:val="005B1865"/>
    <w:rsid w:val="005B1E81"/>
    <w:rsid w:val="005B2AA3"/>
    <w:rsid w:val="005B2E11"/>
    <w:rsid w:val="005B2E23"/>
    <w:rsid w:val="005B393B"/>
    <w:rsid w:val="005B3D69"/>
    <w:rsid w:val="005B4233"/>
    <w:rsid w:val="005B4949"/>
    <w:rsid w:val="005B5025"/>
    <w:rsid w:val="005B5E31"/>
    <w:rsid w:val="005B630E"/>
    <w:rsid w:val="005B63A1"/>
    <w:rsid w:val="005B671B"/>
    <w:rsid w:val="005C0404"/>
    <w:rsid w:val="005C1C47"/>
    <w:rsid w:val="005C1F96"/>
    <w:rsid w:val="005C29DA"/>
    <w:rsid w:val="005C3408"/>
    <w:rsid w:val="005C3CDA"/>
    <w:rsid w:val="005C3DF1"/>
    <w:rsid w:val="005C46F6"/>
    <w:rsid w:val="005C481E"/>
    <w:rsid w:val="005C53EC"/>
    <w:rsid w:val="005C5551"/>
    <w:rsid w:val="005C5F08"/>
    <w:rsid w:val="005C77D7"/>
    <w:rsid w:val="005C796E"/>
    <w:rsid w:val="005D063A"/>
    <w:rsid w:val="005D0670"/>
    <w:rsid w:val="005D1327"/>
    <w:rsid w:val="005D134F"/>
    <w:rsid w:val="005D156B"/>
    <w:rsid w:val="005D1AC8"/>
    <w:rsid w:val="005D3113"/>
    <w:rsid w:val="005D371A"/>
    <w:rsid w:val="005D3750"/>
    <w:rsid w:val="005D4601"/>
    <w:rsid w:val="005D5277"/>
    <w:rsid w:val="005D53CA"/>
    <w:rsid w:val="005D5452"/>
    <w:rsid w:val="005D5BE2"/>
    <w:rsid w:val="005D5FC1"/>
    <w:rsid w:val="005D61F5"/>
    <w:rsid w:val="005D63BE"/>
    <w:rsid w:val="005D65A5"/>
    <w:rsid w:val="005D68D5"/>
    <w:rsid w:val="005D721F"/>
    <w:rsid w:val="005D7433"/>
    <w:rsid w:val="005D7D16"/>
    <w:rsid w:val="005E0450"/>
    <w:rsid w:val="005E0923"/>
    <w:rsid w:val="005E09AE"/>
    <w:rsid w:val="005E1011"/>
    <w:rsid w:val="005E1AC2"/>
    <w:rsid w:val="005E1AF9"/>
    <w:rsid w:val="005E2879"/>
    <w:rsid w:val="005E287F"/>
    <w:rsid w:val="005E30D0"/>
    <w:rsid w:val="005E364F"/>
    <w:rsid w:val="005E36AA"/>
    <w:rsid w:val="005E36BE"/>
    <w:rsid w:val="005E38CD"/>
    <w:rsid w:val="005E3C31"/>
    <w:rsid w:val="005E3D7C"/>
    <w:rsid w:val="005E3F1E"/>
    <w:rsid w:val="005E48E3"/>
    <w:rsid w:val="005E4D83"/>
    <w:rsid w:val="005E5825"/>
    <w:rsid w:val="005E64DA"/>
    <w:rsid w:val="005E6A82"/>
    <w:rsid w:val="005E71A3"/>
    <w:rsid w:val="005E73BF"/>
    <w:rsid w:val="005F11E1"/>
    <w:rsid w:val="005F1BA8"/>
    <w:rsid w:val="005F2267"/>
    <w:rsid w:val="005F2C77"/>
    <w:rsid w:val="005F2E0E"/>
    <w:rsid w:val="005F3A43"/>
    <w:rsid w:val="005F49E6"/>
    <w:rsid w:val="005F5033"/>
    <w:rsid w:val="005F54BC"/>
    <w:rsid w:val="005F5AE2"/>
    <w:rsid w:val="005F7112"/>
    <w:rsid w:val="005F762B"/>
    <w:rsid w:val="005F7FFA"/>
    <w:rsid w:val="0060015F"/>
    <w:rsid w:val="006004DF"/>
    <w:rsid w:val="00600640"/>
    <w:rsid w:val="00600AA9"/>
    <w:rsid w:val="00600CAB"/>
    <w:rsid w:val="006010C9"/>
    <w:rsid w:val="006018DD"/>
    <w:rsid w:val="00601BDC"/>
    <w:rsid w:val="00602103"/>
    <w:rsid w:val="00602307"/>
    <w:rsid w:val="00603389"/>
    <w:rsid w:val="00604010"/>
    <w:rsid w:val="0060477F"/>
    <w:rsid w:val="00604BC6"/>
    <w:rsid w:val="00605652"/>
    <w:rsid w:val="00605AFC"/>
    <w:rsid w:val="00606634"/>
    <w:rsid w:val="006071C5"/>
    <w:rsid w:val="00611997"/>
    <w:rsid w:val="00612693"/>
    <w:rsid w:val="00612DFA"/>
    <w:rsid w:val="006134D3"/>
    <w:rsid w:val="006137BF"/>
    <w:rsid w:val="006149EE"/>
    <w:rsid w:val="00615548"/>
    <w:rsid w:val="006156B1"/>
    <w:rsid w:val="00615B62"/>
    <w:rsid w:val="00616398"/>
    <w:rsid w:val="006169D3"/>
    <w:rsid w:val="00616F5D"/>
    <w:rsid w:val="006211B3"/>
    <w:rsid w:val="006211D9"/>
    <w:rsid w:val="006213A6"/>
    <w:rsid w:val="0062177E"/>
    <w:rsid w:val="00621BB8"/>
    <w:rsid w:val="0062230C"/>
    <w:rsid w:val="00622E8E"/>
    <w:rsid w:val="00624231"/>
    <w:rsid w:val="006243FC"/>
    <w:rsid w:val="00626E57"/>
    <w:rsid w:val="00627D4A"/>
    <w:rsid w:val="0063011D"/>
    <w:rsid w:val="00630392"/>
    <w:rsid w:val="00630A34"/>
    <w:rsid w:val="00630CD4"/>
    <w:rsid w:val="0063112A"/>
    <w:rsid w:val="00631230"/>
    <w:rsid w:val="006327C4"/>
    <w:rsid w:val="006328B4"/>
    <w:rsid w:val="00633515"/>
    <w:rsid w:val="00633A43"/>
    <w:rsid w:val="0063479A"/>
    <w:rsid w:val="00635247"/>
    <w:rsid w:val="0063603B"/>
    <w:rsid w:val="00636729"/>
    <w:rsid w:val="0063778B"/>
    <w:rsid w:val="006378D4"/>
    <w:rsid w:val="00637A54"/>
    <w:rsid w:val="00637EDA"/>
    <w:rsid w:val="00637F4F"/>
    <w:rsid w:val="00640234"/>
    <w:rsid w:val="0064030D"/>
    <w:rsid w:val="006407A4"/>
    <w:rsid w:val="00640809"/>
    <w:rsid w:val="00640ACD"/>
    <w:rsid w:val="00640C3D"/>
    <w:rsid w:val="00641FB3"/>
    <w:rsid w:val="0064362E"/>
    <w:rsid w:val="00643C04"/>
    <w:rsid w:val="00645ED5"/>
    <w:rsid w:val="0064635E"/>
    <w:rsid w:val="0064639C"/>
    <w:rsid w:val="0064669A"/>
    <w:rsid w:val="00646794"/>
    <w:rsid w:val="006478CF"/>
    <w:rsid w:val="00647B51"/>
    <w:rsid w:val="00650480"/>
    <w:rsid w:val="006518FD"/>
    <w:rsid w:val="00652285"/>
    <w:rsid w:val="00653400"/>
    <w:rsid w:val="00653B31"/>
    <w:rsid w:val="006542EC"/>
    <w:rsid w:val="00654B90"/>
    <w:rsid w:val="0065529B"/>
    <w:rsid w:val="00655337"/>
    <w:rsid w:val="00655724"/>
    <w:rsid w:val="006560FE"/>
    <w:rsid w:val="0065696C"/>
    <w:rsid w:val="006603F4"/>
    <w:rsid w:val="00660617"/>
    <w:rsid w:val="00660F82"/>
    <w:rsid w:val="006613D2"/>
    <w:rsid w:val="00663458"/>
    <w:rsid w:val="00663EBA"/>
    <w:rsid w:val="00663EE9"/>
    <w:rsid w:val="0066418F"/>
    <w:rsid w:val="0066475F"/>
    <w:rsid w:val="00664A60"/>
    <w:rsid w:val="00664E6C"/>
    <w:rsid w:val="00664F68"/>
    <w:rsid w:val="00665DF7"/>
    <w:rsid w:val="0066648A"/>
    <w:rsid w:val="006665DB"/>
    <w:rsid w:val="00666814"/>
    <w:rsid w:val="00666BD1"/>
    <w:rsid w:val="00666C86"/>
    <w:rsid w:val="00666FDD"/>
    <w:rsid w:val="006670CA"/>
    <w:rsid w:val="00667353"/>
    <w:rsid w:val="006673A8"/>
    <w:rsid w:val="00667A68"/>
    <w:rsid w:val="00667B57"/>
    <w:rsid w:val="00670167"/>
    <w:rsid w:val="00670600"/>
    <w:rsid w:val="00671BDB"/>
    <w:rsid w:val="00671C63"/>
    <w:rsid w:val="00671EB1"/>
    <w:rsid w:val="00672969"/>
    <w:rsid w:val="00672AD6"/>
    <w:rsid w:val="00672B1F"/>
    <w:rsid w:val="00672E5D"/>
    <w:rsid w:val="0067311B"/>
    <w:rsid w:val="00673D47"/>
    <w:rsid w:val="006741EE"/>
    <w:rsid w:val="00674449"/>
    <w:rsid w:val="00674EA0"/>
    <w:rsid w:val="00674FC5"/>
    <w:rsid w:val="006761F9"/>
    <w:rsid w:val="00680618"/>
    <w:rsid w:val="00680792"/>
    <w:rsid w:val="00680C9E"/>
    <w:rsid w:val="00680E7F"/>
    <w:rsid w:val="006812AC"/>
    <w:rsid w:val="00682846"/>
    <w:rsid w:val="00682967"/>
    <w:rsid w:val="00683689"/>
    <w:rsid w:val="0068447E"/>
    <w:rsid w:val="0068487C"/>
    <w:rsid w:val="00684CFE"/>
    <w:rsid w:val="0068517A"/>
    <w:rsid w:val="00685D33"/>
    <w:rsid w:val="00686150"/>
    <w:rsid w:val="006861B8"/>
    <w:rsid w:val="00686886"/>
    <w:rsid w:val="00686917"/>
    <w:rsid w:val="00686A99"/>
    <w:rsid w:val="006908EC"/>
    <w:rsid w:val="00690E9F"/>
    <w:rsid w:val="00691ADD"/>
    <w:rsid w:val="00691B3E"/>
    <w:rsid w:val="00692405"/>
    <w:rsid w:val="00692822"/>
    <w:rsid w:val="00692D61"/>
    <w:rsid w:val="00693D86"/>
    <w:rsid w:val="00693E57"/>
    <w:rsid w:val="00693F41"/>
    <w:rsid w:val="00694F62"/>
    <w:rsid w:val="00695002"/>
    <w:rsid w:val="0069547F"/>
    <w:rsid w:val="006954BB"/>
    <w:rsid w:val="006956DE"/>
    <w:rsid w:val="00695CE3"/>
    <w:rsid w:val="00695D23"/>
    <w:rsid w:val="00695DB0"/>
    <w:rsid w:val="00696D35"/>
    <w:rsid w:val="0069763E"/>
    <w:rsid w:val="00697AAC"/>
    <w:rsid w:val="00697D9F"/>
    <w:rsid w:val="006A0356"/>
    <w:rsid w:val="006A07EE"/>
    <w:rsid w:val="006A0EAA"/>
    <w:rsid w:val="006A0F89"/>
    <w:rsid w:val="006A103B"/>
    <w:rsid w:val="006A142F"/>
    <w:rsid w:val="006A146B"/>
    <w:rsid w:val="006A1B0A"/>
    <w:rsid w:val="006A246F"/>
    <w:rsid w:val="006A3E90"/>
    <w:rsid w:val="006A4AE1"/>
    <w:rsid w:val="006A4C80"/>
    <w:rsid w:val="006A4F82"/>
    <w:rsid w:val="006A527E"/>
    <w:rsid w:val="006A5C4D"/>
    <w:rsid w:val="006A7795"/>
    <w:rsid w:val="006A7817"/>
    <w:rsid w:val="006A7820"/>
    <w:rsid w:val="006B1595"/>
    <w:rsid w:val="006B171A"/>
    <w:rsid w:val="006B3FDD"/>
    <w:rsid w:val="006B528E"/>
    <w:rsid w:val="006B5A9E"/>
    <w:rsid w:val="006B5EC5"/>
    <w:rsid w:val="006B636A"/>
    <w:rsid w:val="006B63AD"/>
    <w:rsid w:val="006B66D2"/>
    <w:rsid w:val="006B6751"/>
    <w:rsid w:val="006B7EDA"/>
    <w:rsid w:val="006C0410"/>
    <w:rsid w:val="006C0BA6"/>
    <w:rsid w:val="006C1378"/>
    <w:rsid w:val="006C1570"/>
    <w:rsid w:val="006C324E"/>
    <w:rsid w:val="006C4685"/>
    <w:rsid w:val="006C4924"/>
    <w:rsid w:val="006C4B64"/>
    <w:rsid w:val="006C4DBD"/>
    <w:rsid w:val="006C660E"/>
    <w:rsid w:val="006C6C76"/>
    <w:rsid w:val="006C6D51"/>
    <w:rsid w:val="006C6EED"/>
    <w:rsid w:val="006C772B"/>
    <w:rsid w:val="006C795F"/>
    <w:rsid w:val="006D0629"/>
    <w:rsid w:val="006D098D"/>
    <w:rsid w:val="006D21BF"/>
    <w:rsid w:val="006D26FA"/>
    <w:rsid w:val="006D2FD2"/>
    <w:rsid w:val="006D312A"/>
    <w:rsid w:val="006D36EF"/>
    <w:rsid w:val="006D4422"/>
    <w:rsid w:val="006D4488"/>
    <w:rsid w:val="006D56DD"/>
    <w:rsid w:val="006D6341"/>
    <w:rsid w:val="006D70F1"/>
    <w:rsid w:val="006D77F4"/>
    <w:rsid w:val="006D7AFE"/>
    <w:rsid w:val="006D7EDC"/>
    <w:rsid w:val="006E04AD"/>
    <w:rsid w:val="006E05A1"/>
    <w:rsid w:val="006E06FB"/>
    <w:rsid w:val="006E0BD6"/>
    <w:rsid w:val="006E12CC"/>
    <w:rsid w:val="006E2B5F"/>
    <w:rsid w:val="006E3E89"/>
    <w:rsid w:val="006E49EE"/>
    <w:rsid w:val="006E4ECE"/>
    <w:rsid w:val="006E51C1"/>
    <w:rsid w:val="006E5A09"/>
    <w:rsid w:val="006E5FDD"/>
    <w:rsid w:val="006E67DC"/>
    <w:rsid w:val="006E697F"/>
    <w:rsid w:val="006E6C2D"/>
    <w:rsid w:val="006E775A"/>
    <w:rsid w:val="006E78FD"/>
    <w:rsid w:val="006E797C"/>
    <w:rsid w:val="006F09AC"/>
    <w:rsid w:val="006F0BC1"/>
    <w:rsid w:val="006F1165"/>
    <w:rsid w:val="006F17C5"/>
    <w:rsid w:val="006F2AAB"/>
    <w:rsid w:val="006F2C09"/>
    <w:rsid w:val="006F2FB4"/>
    <w:rsid w:val="006F3053"/>
    <w:rsid w:val="006F30E4"/>
    <w:rsid w:val="006F3623"/>
    <w:rsid w:val="006F3E01"/>
    <w:rsid w:val="006F3F8E"/>
    <w:rsid w:val="006F44D1"/>
    <w:rsid w:val="006F46A8"/>
    <w:rsid w:val="006F6E15"/>
    <w:rsid w:val="006F70BA"/>
    <w:rsid w:val="006F725F"/>
    <w:rsid w:val="006F76F2"/>
    <w:rsid w:val="00700372"/>
    <w:rsid w:val="00700448"/>
    <w:rsid w:val="00700FFD"/>
    <w:rsid w:val="007013BB"/>
    <w:rsid w:val="0070230E"/>
    <w:rsid w:val="00702808"/>
    <w:rsid w:val="007031E3"/>
    <w:rsid w:val="007032C6"/>
    <w:rsid w:val="00703DF2"/>
    <w:rsid w:val="00704544"/>
    <w:rsid w:val="00704DBF"/>
    <w:rsid w:val="0070523C"/>
    <w:rsid w:val="00705BA7"/>
    <w:rsid w:val="00705DB9"/>
    <w:rsid w:val="00706804"/>
    <w:rsid w:val="00706E9E"/>
    <w:rsid w:val="007075DD"/>
    <w:rsid w:val="00707D43"/>
    <w:rsid w:val="00707D49"/>
    <w:rsid w:val="007109A6"/>
    <w:rsid w:val="00711617"/>
    <w:rsid w:val="00711C47"/>
    <w:rsid w:val="00711E97"/>
    <w:rsid w:val="0071218D"/>
    <w:rsid w:val="00712222"/>
    <w:rsid w:val="007122F6"/>
    <w:rsid w:val="00712416"/>
    <w:rsid w:val="00713610"/>
    <w:rsid w:val="00713747"/>
    <w:rsid w:val="007144E4"/>
    <w:rsid w:val="007151D1"/>
    <w:rsid w:val="007151DD"/>
    <w:rsid w:val="00715307"/>
    <w:rsid w:val="0071575C"/>
    <w:rsid w:val="00715BCF"/>
    <w:rsid w:val="00715C42"/>
    <w:rsid w:val="0071625C"/>
    <w:rsid w:val="007177D6"/>
    <w:rsid w:val="00717AE5"/>
    <w:rsid w:val="007201ED"/>
    <w:rsid w:val="007211B1"/>
    <w:rsid w:val="00721FC0"/>
    <w:rsid w:val="00722A8D"/>
    <w:rsid w:val="0072454E"/>
    <w:rsid w:val="007255E3"/>
    <w:rsid w:val="00725E4E"/>
    <w:rsid w:val="007262D9"/>
    <w:rsid w:val="0072695E"/>
    <w:rsid w:val="0072729B"/>
    <w:rsid w:val="00727517"/>
    <w:rsid w:val="007277D0"/>
    <w:rsid w:val="00730002"/>
    <w:rsid w:val="00730AC1"/>
    <w:rsid w:val="00730FBA"/>
    <w:rsid w:val="007311AA"/>
    <w:rsid w:val="00731B0C"/>
    <w:rsid w:val="00731ED6"/>
    <w:rsid w:val="0073326C"/>
    <w:rsid w:val="0073441D"/>
    <w:rsid w:val="00734E0B"/>
    <w:rsid w:val="00735398"/>
    <w:rsid w:val="007358D9"/>
    <w:rsid w:val="00735BEF"/>
    <w:rsid w:val="00735D43"/>
    <w:rsid w:val="00735D61"/>
    <w:rsid w:val="007360F2"/>
    <w:rsid w:val="007361CA"/>
    <w:rsid w:val="0073626C"/>
    <w:rsid w:val="007368BF"/>
    <w:rsid w:val="00737147"/>
    <w:rsid w:val="00737690"/>
    <w:rsid w:val="00740294"/>
    <w:rsid w:val="007404C8"/>
    <w:rsid w:val="00740CAD"/>
    <w:rsid w:val="00741A6C"/>
    <w:rsid w:val="0074316A"/>
    <w:rsid w:val="00743291"/>
    <w:rsid w:val="007434B9"/>
    <w:rsid w:val="00743533"/>
    <w:rsid w:val="00744823"/>
    <w:rsid w:val="00744FF3"/>
    <w:rsid w:val="00745178"/>
    <w:rsid w:val="00745426"/>
    <w:rsid w:val="00745813"/>
    <w:rsid w:val="00745F26"/>
    <w:rsid w:val="00746179"/>
    <w:rsid w:val="00746300"/>
    <w:rsid w:val="0075037E"/>
    <w:rsid w:val="0075106A"/>
    <w:rsid w:val="00751BC4"/>
    <w:rsid w:val="00751EAC"/>
    <w:rsid w:val="00752700"/>
    <w:rsid w:val="007527E2"/>
    <w:rsid w:val="00752958"/>
    <w:rsid w:val="007535F3"/>
    <w:rsid w:val="00753881"/>
    <w:rsid w:val="00753A2A"/>
    <w:rsid w:val="00753F00"/>
    <w:rsid w:val="00754471"/>
    <w:rsid w:val="00755F25"/>
    <w:rsid w:val="0075633F"/>
    <w:rsid w:val="007572E0"/>
    <w:rsid w:val="0076028C"/>
    <w:rsid w:val="007618C8"/>
    <w:rsid w:val="00761E48"/>
    <w:rsid w:val="00762328"/>
    <w:rsid w:val="00762530"/>
    <w:rsid w:val="007626EE"/>
    <w:rsid w:val="00762A38"/>
    <w:rsid w:val="0076400E"/>
    <w:rsid w:val="00764630"/>
    <w:rsid w:val="00764818"/>
    <w:rsid w:val="00764B14"/>
    <w:rsid w:val="00765BBE"/>
    <w:rsid w:val="00765EEF"/>
    <w:rsid w:val="007674DE"/>
    <w:rsid w:val="007703ED"/>
    <w:rsid w:val="00771D76"/>
    <w:rsid w:val="007724FC"/>
    <w:rsid w:val="007727DE"/>
    <w:rsid w:val="00772C2E"/>
    <w:rsid w:val="00772F10"/>
    <w:rsid w:val="0077315D"/>
    <w:rsid w:val="0077376A"/>
    <w:rsid w:val="00773875"/>
    <w:rsid w:val="00773952"/>
    <w:rsid w:val="0077467D"/>
    <w:rsid w:val="007749C9"/>
    <w:rsid w:val="00774A46"/>
    <w:rsid w:val="00774BF8"/>
    <w:rsid w:val="00774D28"/>
    <w:rsid w:val="0077574E"/>
    <w:rsid w:val="007771FA"/>
    <w:rsid w:val="00777DEA"/>
    <w:rsid w:val="00777EDC"/>
    <w:rsid w:val="00780529"/>
    <w:rsid w:val="00780B9D"/>
    <w:rsid w:val="00781015"/>
    <w:rsid w:val="00781276"/>
    <w:rsid w:val="00782C5B"/>
    <w:rsid w:val="007840C4"/>
    <w:rsid w:val="007842CC"/>
    <w:rsid w:val="00785379"/>
    <w:rsid w:val="0078558B"/>
    <w:rsid w:val="007859A1"/>
    <w:rsid w:val="00785AF7"/>
    <w:rsid w:val="00785C4B"/>
    <w:rsid w:val="00785D24"/>
    <w:rsid w:val="00785D85"/>
    <w:rsid w:val="00786BB8"/>
    <w:rsid w:val="00786F67"/>
    <w:rsid w:val="00787FAD"/>
    <w:rsid w:val="0079013C"/>
    <w:rsid w:val="00790276"/>
    <w:rsid w:val="00790429"/>
    <w:rsid w:val="007907EE"/>
    <w:rsid w:val="00791852"/>
    <w:rsid w:val="0079225F"/>
    <w:rsid w:val="007922E3"/>
    <w:rsid w:val="007935CB"/>
    <w:rsid w:val="007936CF"/>
    <w:rsid w:val="00793830"/>
    <w:rsid w:val="007939C8"/>
    <w:rsid w:val="00793A6A"/>
    <w:rsid w:val="00793C30"/>
    <w:rsid w:val="00793DC4"/>
    <w:rsid w:val="00793E49"/>
    <w:rsid w:val="00793F90"/>
    <w:rsid w:val="00794F40"/>
    <w:rsid w:val="007951FD"/>
    <w:rsid w:val="007958F7"/>
    <w:rsid w:val="00795BBD"/>
    <w:rsid w:val="00796C3B"/>
    <w:rsid w:val="00796EB0"/>
    <w:rsid w:val="00797987"/>
    <w:rsid w:val="007A02B0"/>
    <w:rsid w:val="007A07BE"/>
    <w:rsid w:val="007A0D7E"/>
    <w:rsid w:val="007A132C"/>
    <w:rsid w:val="007A14AF"/>
    <w:rsid w:val="007A15B3"/>
    <w:rsid w:val="007A185E"/>
    <w:rsid w:val="007A1906"/>
    <w:rsid w:val="007A2207"/>
    <w:rsid w:val="007A2742"/>
    <w:rsid w:val="007A27FE"/>
    <w:rsid w:val="007A2845"/>
    <w:rsid w:val="007A2980"/>
    <w:rsid w:val="007A2A4B"/>
    <w:rsid w:val="007A3026"/>
    <w:rsid w:val="007A4464"/>
    <w:rsid w:val="007A4A94"/>
    <w:rsid w:val="007A4D39"/>
    <w:rsid w:val="007A4EBD"/>
    <w:rsid w:val="007A5461"/>
    <w:rsid w:val="007A5874"/>
    <w:rsid w:val="007A5F24"/>
    <w:rsid w:val="007A616F"/>
    <w:rsid w:val="007A6469"/>
    <w:rsid w:val="007A6BF6"/>
    <w:rsid w:val="007A702C"/>
    <w:rsid w:val="007A750C"/>
    <w:rsid w:val="007B0A58"/>
    <w:rsid w:val="007B1340"/>
    <w:rsid w:val="007B2F5E"/>
    <w:rsid w:val="007B30B7"/>
    <w:rsid w:val="007B30E6"/>
    <w:rsid w:val="007B33B1"/>
    <w:rsid w:val="007B3903"/>
    <w:rsid w:val="007B4A49"/>
    <w:rsid w:val="007B53D8"/>
    <w:rsid w:val="007B5470"/>
    <w:rsid w:val="007B56A9"/>
    <w:rsid w:val="007B5A60"/>
    <w:rsid w:val="007B643E"/>
    <w:rsid w:val="007B6FA3"/>
    <w:rsid w:val="007B7046"/>
    <w:rsid w:val="007B787C"/>
    <w:rsid w:val="007B7EAF"/>
    <w:rsid w:val="007C019D"/>
    <w:rsid w:val="007C0FBE"/>
    <w:rsid w:val="007C260D"/>
    <w:rsid w:val="007C2E61"/>
    <w:rsid w:val="007C2ECA"/>
    <w:rsid w:val="007C4015"/>
    <w:rsid w:val="007C52A0"/>
    <w:rsid w:val="007C52BF"/>
    <w:rsid w:val="007C5A47"/>
    <w:rsid w:val="007C7415"/>
    <w:rsid w:val="007C746E"/>
    <w:rsid w:val="007C7BC8"/>
    <w:rsid w:val="007D0752"/>
    <w:rsid w:val="007D12ED"/>
    <w:rsid w:val="007D14A7"/>
    <w:rsid w:val="007D15F1"/>
    <w:rsid w:val="007D2381"/>
    <w:rsid w:val="007D2AF4"/>
    <w:rsid w:val="007D31E9"/>
    <w:rsid w:val="007D349F"/>
    <w:rsid w:val="007D414A"/>
    <w:rsid w:val="007D4223"/>
    <w:rsid w:val="007D45AC"/>
    <w:rsid w:val="007D47AF"/>
    <w:rsid w:val="007D4B4F"/>
    <w:rsid w:val="007D4D29"/>
    <w:rsid w:val="007D4E88"/>
    <w:rsid w:val="007D53B0"/>
    <w:rsid w:val="007D5709"/>
    <w:rsid w:val="007D608B"/>
    <w:rsid w:val="007D627F"/>
    <w:rsid w:val="007D6B86"/>
    <w:rsid w:val="007D7047"/>
    <w:rsid w:val="007D777C"/>
    <w:rsid w:val="007D78A3"/>
    <w:rsid w:val="007E04EA"/>
    <w:rsid w:val="007E11BD"/>
    <w:rsid w:val="007E1516"/>
    <w:rsid w:val="007E1A1E"/>
    <w:rsid w:val="007E2606"/>
    <w:rsid w:val="007E32CB"/>
    <w:rsid w:val="007E3CDD"/>
    <w:rsid w:val="007E3ECB"/>
    <w:rsid w:val="007E4DDC"/>
    <w:rsid w:val="007E502F"/>
    <w:rsid w:val="007E53B6"/>
    <w:rsid w:val="007E53D7"/>
    <w:rsid w:val="007E5E32"/>
    <w:rsid w:val="007E6A51"/>
    <w:rsid w:val="007E6CF6"/>
    <w:rsid w:val="007E77AD"/>
    <w:rsid w:val="007E7AC1"/>
    <w:rsid w:val="007E7FCF"/>
    <w:rsid w:val="007F009F"/>
    <w:rsid w:val="007F0AE3"/>
    <w:rsid w:val="007F0AF6"/>
    <w:rsid w:val="007F0D17"/>
    <w:rsid w:val="007F1D79"/>
    <w:rsid w:val="007F1D9F"/>
    <w:rsid w:val="007F2123"/>
    <w:rsid w:val="007F2E79"/>
    <w:rsid w:val="007F2E99"/>
    <w:rsid w:val="007F32AC"/>
    <w:rsid w:val="007F350B"/>
    <w:rsid w:val="007F358E"/>
    <w:rsid w:val="007F359D"/>
    <w:rsid w:val="007F3820"/>
    <w:rsid w:val="007F3DB6"/>
    <w:rsid w:val="007F4117"/>
    <w:rsid w:val="007F43B2"/>
    <w:rsid w:val="007F4BEB"/>
    <w:rsid w:val="007F5DB5"/>
    <w:rsid w:val="007F5DB7"/>
    <w:rsid w:val="007F631E"/>
    <w:rsid w:val="007F6EE7"/>
    <w:rsid w:val="007F7A37"/>
    <w:rsid w:val="007F7AD5"/>
    <w:rsid w:val="007F7F06"/>
    <w:rsid w:val="007F7FAA"/>
    <w:rsid w:val="00800082"/>
    <w:rsid w:val="008008C4"/>
    <w:rsid w:val="00800DB9"/>
    <w:rsid w:val="00801DB7"/>
    <w:rsid w:val="00802EF7"/>
    <w:rsid w:val="0080318B"/>
    <w:rsid w:val="008035C5"/>
    <w:rsid w:val="008037D0"/>
    <w:rsid w:val="00803806"/>
    <w:rsid w:val="0080508F"/>
    <w:rsid w:val="008053C2"/>
    <w:rsid w:val="00806BAB"/>
    <w:rsid w:val="0081083E"/>
    <w:rsid w:val="00811489"/>
    <w:rsid w:val="008115E4"/>
    <w:rsid w:val="00812141"/>
    <w:rsid w:val="0081243A"/>
    <w:rsid w:val="008126E5"/>
    <w:rsid w:val="00812FE4"/>
    <w:rsid w:val="00813667"/>
    <w:rsid w:val="00813AD4"/>
    <w:rsid w:val="00813EC0"/>
    <w:rsid w:val="00814069"/>
    <w:rsid w:val="0081483B"/>
    <w:rsid w:val="0081486D"/>
    <w:rsid w:val="00815149"/>
    <w:rsid w:val="00815991"/>
    <w:rsid w:val="00815F11"/>
    <w:rsid w:val="008168C8"/>
    <w:rsid w:val="008169F8"/>
    <w:rsid w:val="008173E8"/>
    <w:rsid w:val="00817651"/>
    <w:rsid w:val="00820BE8"/>
    <w:rsid w:val="0082150B"/>
    <w:rsid w:val="00821AE5"/>
    <w:rsid w:val="008236EE"/>
    <w:rsid w:val="008245C7"/>
    <w:rsid w:val="00824805"/>
    <w:rsid w:val="008257EB"/>
    <w:rsid w:val="00826440"/>
    <w:rsid w:val="00827CF1"/>
    <w:rsid w:val="00830C5F"/>
    <w:rsid w:val="00831772"/>
    <w:rsid w:val="00831773"/>
    <w:rsid w:val="00831EB6"/>
    <w:rsid w:val="00832658"/>
    <w:rsid w:val="0083378C"/>
    <w:rsid w:val="00833F43"/>
    <w:rsid w:val="00834304"/>
    <w:rsid w:val="00834610"/>
    <w:rsid w:val="00834637"/>
    <w:rsid w:val="00834DA8"/>
    <w:rsid w:val="0083557E"/>
    <w:rsid w:val="0083579F"/>
    <w:rsid w:val="00835CBC"/>
    <w:rsid w:val="00836154"/>
    <w:rsid w:val="008365B5"/>
    <w:rsid w:val="00836D92"/>
    <w:rsid w:val="0084148F"/>
    <w:rsid w:val="00841864"/>
    <w:rsid w:val="00841AF7"/>
    <w:rsid w:val="00841B01"/>
    <w:rsid w:val="00842938"/>
    <w:rsid w:val="00843323"/>
    <w:rsid w:val="008438E5"/>
    <w:rsid w:val="0084410C"/>
    <w:rsid w:val="008455C8"/>
    <w:rsid w:val="0084599B"/>
    <w:rsid w:val="0084641E"/>
    <w:rsid w:val="00846513"/>
    <w:rsid w:val="00847604"/>
    <w:rsid w:val="008476A4"/>
    <w:rsid w:val="00847788"/>
    <w:rsid w:val="0084795F"/>
    <w:rsid w:val="00847D1D"/>
    <w:rsid w:val="008500EE"/>
    <w:rsid w:val="00850787"/>
    <w:rsid w:val="00850AB6"/>
    <w:rsid w:val="008510FF"/>
    <w:rsid w:val="00851586"/>
    <w:rsid w:val="0085173A"/>
    <w:rsid w:val="0085228E"/>
    <w:rsid w:val="008526D1"/>
    <w:rsid w:val="008526D3"/>
    <w:rsid w:val="00852AB2"/>
    <w:rsid w:val="00852EA3"/>
    <w:rsid w:val="0085336B"/>
    <w:rsid w:val="00853AA7"/>
    <w:rsid w:val="00853D27"/>
    <w:rsid w:val="00853E2B"/>
    <w:rsid w:val="00853E6D"/>
    <w:rsid w:val="00856794"/>
    <w:rsid w:val="0085697C"/>
    <w:rsid w:val="00856B03"/>
    <w:rsid w:val="00857122"/>
    <w:rsid w:val="00860D2C"/>
    <w:rsid w:val="00862D1F"/>
    <w:rsid w:val="00862F8F"/>
    <w:rsid w:val="008648B4"/>
    <w:rsid w:val="00864D07"/>
    <w:rsid w:val="0086557A"/>
    <w:rsid w:val="008655F7"/>
    <w:rsid w:val="00865783"/>
    <w:rsid w:val="00865A8C"/>
    <w:rsid w:val="0086664B"/>
    <w:rsid w:val="008676B5"/>
    <w:rsid w:val="00867D03"/>
    <w:rsid w:val="00867DBD"/>
    <w:rsid w:val="00867ED7"/>
    <w:rsid w:val="00870134"/>
    <w:rsid w:val="00870556"/>
    <w:rsid w:val="008708DB"/>
    <w:rsid w:val="008711BF"/>
    <w:rsid w:val="00871808"/>
    <w:rsid w:val="008719FC"/>
    <w:rsid w:val="00871B4A"/>
    <w:rsid w:val="00871EDF"/>
    <w:rsid w:val="00872C77"/>
    <w:rsid w:val="00873814"/>
    <w:rsid w:val="00873D7A"/>
    <w:rsid w:val="00874205"/>
    <w:rsid w:val="00874430"/>
    <w:rsid w:val="00874610"/>
    <w:rsid w:val="0087493A"/>
    <w:rsid w:val="0087497E"/>
    <w:rsid w:val="00874B1E"/>
    <w:rsid w:val="00874DBF"/>
    <w:rsid w:val="00875106"/>
    <w:rsid w:val="00875443"/>
    <w:rsid w:val="00876856"/>
    <w:rsid w:val="008773C2"/>
    <w:rsid w:val="00877CBB"/>
    <w:rsid w:val="0088010C"/>
    <w:rsid w:val="0088086C"/>
    <w:rsid w:val="00880A52"/>
    <w:rsid w:val="00880D32"/>
    <w:rsid w:val="00881259"/>
    <w:rsid w:val="00881B36"/>
    <w:rsid w:val="008824FF"/>
    <w:rsid w:val="008825C6"/>
    <w:rsid w:val="008830FD"/>
    <w:rsid w:val="00883D2F"/>
    <w:rsid w:val="00885400"/>
    <w:rsid w:val="0088563D"/>
    <w:rsid w:val="008859CC"/>
    <w:rsid w:val="00886152"/>
    <w:rsid w:val="0088638C"/>
    <w:rsid w:val="00887C4B"/>
    <w:rsid w:val="008905DD"/>
    <w:rsid w:val="008907A4"/>
    <w:rsid w:val="0089217D"/>
    <w:rsid w:val="008925FE"/>
    <w:rsid w:val="00893817"/>
    <w:rsid w:val="00893A72"/>
    <w:rsid w:val="00894630"/>
    <w:rsid w:val="00894B10"/>
    <w:rsid w:val="00894C06"/>
    <w:rsid w:val="00894DA3"/>
    <w:rsid w:val="00894E40"/>
    <w:rsid w:val="008954CB"/>
    <w:rsid w:val="00895A0B"/>
    <w:rsid w:val="00895A93"/>
    <w:rsid w:val="00896307"/>
    <w:rsid w:val="00896422"/>
    <w:rsid w:val="00896658"/>
    <w:rsid w:val="00897050"/>
    <w:rsid w:val="008976E5"/>
    <w:rsid w:val="0089779C"/>
    <w:rsid w:val="00897A91"/>
    <w:rsid w:val="008A07E2"/>
    <w:rsid w:val="008A0B30"/>
    <w:rsid w:val="008A21BD"/>
    <w:rsid w:val="008A29B7"/>
    <w:rsid w:val="008A2BF5"/>
    <w:rsid w:val="008A3125"/>
    <w:rsid w:val="008A3BAA"/>
    <w:rsid w:val="008A3C83"/>
    <w:rsid w:val="008A3DEB"/>
    <w:rsid w:val="008A5619"/>
    <w:rsid w:val="008A58D7"/>
    <w:rsid w:val="008A5B05"/>
    <w:rsid w:val="008A6981"/>
    <w:rsid w:val="008A7081"/>
    <w:rsid w:val="008A719E"/>
    <w:rsid w:val="008A7585"/>
    <w:rsid w:val="008A784C"/>
    <w:rsid w:val="008A7CF3"/>
    <w:rsid w:val="008B1846"/>
    <w:rsid w:val="008B1AFB"/>
    <w:rsid w:val="008B1C93"/>
    <w:rsid w:val="008B1D88"/>
    <w:rsid w:val="008B1F45"/>
    <w:rsid w:val="008B1FF5"/>
    <w:rsid w:val="008B24EC"/>
    <w:rsid w:val="008B2C8F"/>
    <w:rsid w:val="008B2F97"/>
    <w:rsid w:val="008B38A8"/>
    <w:rsid w:val="008B3DD9"/>
    <w:rsid w:val="008B47B9"/>
    <w:rsid w:val="008B517A"/>
    <w:rsid w:val="008B60CD"/>
    <w:rsid w:val="008B6C45"/>
    <w:rsid w:val="008C0082"/>
    <w:rsid w:val="008C01B9"/>
    <w:rsid w:val="008C03D3"/>
    <w:rsid w:val="008C070C"/>
    <w:rsid w:val="008C0E5E"/>
    <w:rsid w:val="008C1228"/>
    <w:rsid w:val="008C18CF"/>
    <w:rsid w:val="008C1E6C"/>
    <w:rsid w:val="008C251F"/>
    <w:rsid w:val="008C38AC"/>
    <w:rsid w:val="008C4681"/>
    <w:rsid w:val="008C53C9"/>
    <w:rsid w:val="008C5B70"/>
    <w:rsid w:val="008C6797"/>
    <w:rsid w:val="008C6961"/>
    <w:rsid w:val="008C720E"/>
    <w:rsid w:val="008C7718"/>
    <w:rsid w:val="008C7731"/>
    <w:rsid w:val="008D0C3C"/>
    <w:rsid w:val="008D0DD1"/>
    <w:rsid w:val="008D112D"/>
    <w:rsid w:val="008D198F"/>
    <w:rsid w:val="008D1A40"/>
    <w:rsid w:val="008D2BE5"/>
    <w:rsid w:val="008D2DA3"/>
    <w:rsid w:val="008D3B3E"/>
    <w:rsid w:val="008D3D02"/>
    <w:rsid w:val="008D4BA5"/>
    <w:rsid w:val="008D50EC"/>
    <w:rsid w:val="008D54DC"/>
    <w:rsid w:val="008D6947"/>
    <w:rsid w:val="008D71B6"/>
    <w:rsid w:val="008D751A"/>
    <w:rsid w:val="008E0248"/>
    <w:rsid w:val="008E0529"/>
    <w:rsid w:val="008E05F8"/>
    <w:rsid w:val="008E06FA"/>
    <w:rsid w:val="008E0727"/>
    <w:rsid w:val="008E0A02"/>
    <w:rsid w:val="008E0AFC"/>
    <w:rsid w:val="008E0F0A"/>
    <w:rsid w:val="008E0F4A"/>
    <w:rsid w:val="008E1292"/>
    <w:rsid w:val="008E132A"/>
    <w:rsid w:val="008E17D5"/>
    <w:rsid w:val="008E2D1C"/>
    <w:rsid w:val="008E328B"/>
    <w:rsid w:val="008E3758"/>
    <w:rsid w:val="008E38C3"/>
    <w:rsid w:val="008E50D8"/>
    <w:rsid w:val="008E5A20"/>
    <w:rsid w:val="008E69CA"/>
    <w:rsid w:val="008E6B11"/>
    <w:rsid w:val="008E6C1E"/>
    <w:rsid w:val="008E7F7F"/>
    <w:rsid w:val="008F00E1"/>
    <w:rsid w:val="008F2636"/>
    <w:rsid w:val="008F26D8"/>
    <w:rsid w:val="008F3598"/>
    <w:rsid w:val="008F3788"/>
    <w:rsid w:val="008F38A6"/>
    <w:rsid w:val="008F3B2A"/>
    <w:rsid w:val="008F3D8A"/>
    <w:rsid w:val="008F4306"/>
    <w:rsid w:val="008F4402"/>
    <w:rsid w:val="008F4766"/>
    <w:rsid w:val="008F4AD5"/>
    <w:rsid w:val="008F5898"/>
    <w:rsid w:val="008F5CF6"/>
    <w:rsid w:val="008F66F6"/>
    <w:rsid w:val="008F68CF"/>
    <w:rsid w:val="008F6926"/>
    <w:rsid w:val="008F6DD5"/>
    <w:rsid w:val="008F6F80"/>
    <w:rsid w:val="008F77F9"/>
    <w:rsid w:val="008F7B35"/>
    <w:rsid w:val="009009E2"/>
    <w:rsid w:val="00900D17"/>
    <w:rsid w:val="009010FF"/>
    <w:rsid w:val="00901194"/>
    <w:rsid w:val="00901CC2"/>
    <w:rsid w:val="0090297B"/>
    <w:rsid w:val="0090320A"/>
    <w:rsid w:val="00903AA8"/>
    <w:rsid w:val="00903D41"/>
    <w:rsid w:val="00905686"/>
    <w:rsid w:val="00905794"/>
    <w:rsid w:val="00905DB5"/>
    <w:rsid w:val="00906E9B"/>
    <w:rsid w:val="00907D2A"/>
    <w:rsid w:val="00910769"/>
    <w:rsid w:val="00911C40"/>
    <w:rsid w:val="009122DF"/>
    <w:rsid w:val="009137C5"/>
    <w:rsid w:val="009149F3"/>
    <w:rsid w:val="009172D8"/>
    <w:rsid w:val="00917F58"/>
    <w:rsid w:val="009218E8"/>
    <w:rsid w:val="00922D7B"/>
    <w:rsid w:val="009235D0"/>
    <w:rsid w:val="00923C61"/>
    <w:rsid w:val="00924369"/>
    <w:rsid w:val="009250F0"/>
    <w:rsid w:val="0092538F"/>
    <w:rsid w:val="00925694"/>
    <w:rsid w:val="00925B5C"/>
    <w:rsid w:val="00925BA7"/>
    <w:rsid w:val="00925DEC"/>
    <w:rsid w:val="009273D6"/>
    <w:rsid w:val="009277A3"/>
    <w:rsid w:val="00927DDF"/>
    <w:rsid w:val="00930559"/>
    <w:rsid w:val="009305F4"/>
    <w:rsid w:val="009312DD"/>
    <w:rsid w:val="00931589"/>
    <w:rsid w:val="0093196F"/>
    <w:rsid w:val="0093228F"/>
    <w:rsid w:val="0093418C"/>
    <w:rsid w:val="00934A34"/>
    <w:rsid w:val="00934ABF"/>
    <w:rsid w:val="0093507B"/>
    <w:rsid w:val="009350A2"/>
    <w:rsid w:val="00935297"/>
    <w:rsid w:val="0093555F"/>
    <w:rsid w:val="009358E9"/>
    <w:rsid w:val="009359FA"/>
    <w:rsid w:val="00935CA7"/>
    <w:rsid w:val="009363EF"/>
    <w:rsid w:val="00936A9D"/>
    <w:rsid w:val="00936E42"/>
    <w:rsid w:val="009377FB"/>
    <w:rsid w:val="00940034"/>
    <w:rsid w:val="009403B3"/>
    <w:rsid w:val="00940468"/>
    <w:rsid w:val="00940D05"/>
    <w:rsid w:val="00940FA9"/>
    <w:rsid w:val="00941261"/>
    <w:rsid w:val="009418A1"/>
    <w:rsid w:val="009418F2"/>
    <w:rsid w:val="009430C7"/>
    <w:rsid w:val="00946151"/>
    <w:rsid w:val="00946535"/>
    <w:rsid w:val="0094699B"/>
    <w:rsid w:val="00947E41"/>
    <w:rsid w:val="00950207"/>
    <w:rsid w:val="009503BF"/>
    <w:rsid w:val="0095052A"/>
    <w:rsid w:val="0095070B"/>
    <w:rsid w:val="00951FBB"/>
    <w:rsid w:val="00951FFB"/>
    <w:rsid w:val="0095279F"/>
    <w:rsid w:val="00952918"/>
    <w:rsid w:val="009534C5"/>
    <w:rsid w:val="00953934"/>
    <w:rsid w:val="00954640"/>
    <w:rsid w:val="009546C6"/>
    <w:rsid w:val="00954CC1"/>
    <w:rsid w:val="009551B0"/>
    <w:rsid w:val="009552FC"/>
    <w:rsid w:val="00955F30"/>
    <w:rsid w:val="00956398"/>
    <w:rsid w:val="009568EF"/>
    <w:rsid w:val="00956DC8"/>
    <w:rsid w:val="00957190"/>
    <w:rsid w:val="009573DD"/>
    <w:rsid w:val="00960C53"/>
    <w:rsid w:val="00962165"/>
    <w:rsid w:val="00962FCC"/>
    <w:rsid w:val="00963892"/>
    <w:rsid w:val="00963DB1"/>
    <w:rsid w:val="00963E8D"/>
    <w:rsid w:val="0096411D"/>
    <w:rsid w:val="00964202"/>
    <w:rsid w:val="00964A71"/>
    <w:rsid w:val="00964CD7"/>
    <w:rsid w:val="00965197"/>
    <w:rsid w:val="009652BC"/>
    <w:rsid w:val="00965BEC"/>
    <w:rsid w:val="00965C10"/>
    <w:rsid w:val="0096606E"/>
    <w:rsid w:val="009663DD"/>
    <w:rsid w:val="00966DB3"/>
    <w:rsid w:val="009672EB"/>
    <w:rsid w:val="00967A19"/>
    <w:rsid w:val="00967B6E"/>
    <w:rsid w:val="0097074A"/>
    <w:rsid w:val="0097079E"/>
    <w:rsid w:val="009718F6"/>
    <w:rsid w:val="00971901"/>
    <w:rsid w:val="00972157"/>
    <w:rsid w:val="009722EC"/>
    <w:rsid w:val="00972D60"/>
    <w:rsid w:val="00973929"/>
    <w:rsid w:val="00974455"/>
    <w:rsid w:val="0097464D"/>
    <w:rsid w:val="0097493D"/>
    <w:rsid w:val="00974C85"/>
    <w:rsid w:val="00974D2B"/>
    <w:rsid w:val="00974D57"/>
    <w:rsid w:val="009768C4"/>
    <w:rsid w:val="00977313"/>
    <w:rsid w:val="00977470"/>
    <w:rsid w:val="0097786E"/>
    <w:rsid w:val="0098002C"/>
    <w:rsid w:val="00980706"/>
    <w:rsid w:val="00980F88"/>
    <w:rsid w:val="009819D2"/>
    <w:rsid w:val="00981CDD"/>
    <w:rsid w:val="009821E0"/>
    <w:rsid w:val="00983297"/>
    <w:rsid w:val="0098343C"/>
    <w:rsid w:val="00983F19"/>
    <w:rsid w:val="0098460E"/>
    <w:rsid w:val="00984E43"/>
    <w:rsid w:val="009861C7"/>
    <w:rsid w:val="009868B6"/>
    <w:rsid w:val="00990759"/>
    <w:rsid w:val="009911A6"/>
    <w:rsid w:val="00991952"/>
    <w:rsid w:val="00991D69"/>
    <w:rsid w:val="00992137"/>
    <w:rsid w:val="00992E9B"/>
    <w:rsid w:val="00992F15"/>
    <w:rsid w:val="009931A3"/>
    <w:rsid w:val="00994387"/>
    <w:rsid w:val="00994ACE"/>
    <w:rsid w:val="00995065"/>
    <w:rsid w:val="0099524C"/>
    <w:rsid w:val="00995A5B"/>
    <w:rsid w:val="00995C04"/>
    <w:rsid w:val="00995F2C"/>
    <w:rsid w:val="009966A3"/>
    <w:rsid w:val="00996FED"/>
    <w:rsid w:val="009974FC"/>
    <w:rsid w:val="00997695"/>
    <w:rsid w:val="009A0890"/>
    <w:rsid w:val="009A0A92"/>
    <w:rsid w:val="009A0BF0"/>
    <w:rsid w:val="009A1853"/>
    <w:rsid w:val="009A2320"/>
    <w:rsid w:val="009A268C"/>
    <w:rsid w:val="009A3699"/>
    <w:rsid w:val="009A38CA"/>
    <w:rsid w:val="009A4242"/>
    <w:rsid w:val="009A4367"/>
    <w:rsid w:val="009A4374"/>
    <w:rsid w:val="009A48FE"/>
    <w:rsid w:val="009A5438"/>
    <w:rsid w:val="009A563F"/>
    <w:rsid w:val="009A6D92"/>
    <w:rsid w:val="009A7594"/>
    <w:rsid w:val="009B09C4"/>
    <w:rsid w:val="009B1A45"/>
    <w:rsid w:val="009B2A15"/>
    <w:rsid w:val="009B3D97"/>
    <w:rsid w:val="009B3F87"/>
    <w:rsid w:val="009B6A3C"/>
    <w:rsid w:val="009B701F"/>
    <w:rsid w:val="009B731E"/>
    <w:rsid w:val="009C146A"/>
    <w:rsid w:val="009C15B3"/>
    <w:rsid w:val="009C2FFB"/>
    <w:rsid w:val="009C362A"/>
    <w:rsid w:val="009C4EEA"/>
    <w:rsid w:val="009C56E0"/>
    <w:rsid w:val="009C5E9F"/>
    <w:rsid w:val="009C680E"/>
    <w:rsid w:val="009C6AB5"/>
    <w:rsid w:val="009C6B79"/>
    <w:rsid w:val="009C755E"/>
    <w:rsid w:val="009C7608"/>
    <w:rsid w:val="009D019C"/>
    <w:rsid w:val="009D01DE"/>
    <w:rsid w:val="009D0568"/>
    <w:rsid w:val="009D06BB"/>
    <w:rsid w:val="009D0811"/>
    <w:rsid w:val="009D099D"/>
    <w:rsid w:val="009D0EDE"/>
    <w:rsid w:val="009D1178"/>
    <w:rsid w:val="009D27ED"/>
    <w:rsid w:val="009D3261"/>
    <w:rsid w:val="009D32DE"/>
    <w:rsid w:val="009D5006"/>
    <w:rsid w:val="009D5F2A"/>
    <w:rsid w:val="009D6E0E"/>
    <w:rsid w:val="009D7C07"/>
    <w:rsid w:val="009E02F7"/>
    <w:rsid w:val="009E0A65"/>
    <w:rsid w:val="009E185C"/>
    <w:rsid w:val="009E199C"/>
    <w:rsid w:val="009E1E87"/>
    <w:rsid w:val="009E23F2"/>
    <w:rsid w:val="009E25E4"/>
    <w:rsid w:val="009E2712"/>
    <w:rsid w:val="009E2C45"/>
    <w:rsid w:val="009E37F5"/>
    <w:rsid w:val="009E48AE"/>
    <w:rsid w:val="009E5905"/>
    <w:rsid w:val="009E5972"/>
    <w:rsid w:val="009E5BF2"/>
    <w:rsid w:val="009E5D15"/>
    <w:rsid w:val="009E5DB6"/>
    <w:rsid w:val="009E5DC7"/>
    <w:rsid w:val="009E62C4"/>
    <w:rsid w:val="009E6436"/>
    <w:rsid w:val="009E69FD"/>
    <w:rsid w:val="009E6D73"/>
    <w:rsid w:val="009E6DEF"/>
    <w:rsid w:val="009E720E"/>
    <w:rsid w:val="009F0023"/>
    <w:rsid w:val="009F03B7"/>
    <w:rsid w:val="009F03F2"/>
    <w:rsid w:val="009F08AD"/>
    <w:rsid w:val="009F0A6A"/>
    <w:rsid w:val="009F153C"/>
    <w:rsid w:val="009F20FD"/>
    <w:rsid w:val="009F22C3"/>
    <w:rsid w:val="009F265F"/>
    <w:rsid w:val="009F2D06"/>
    <w:rsid w:val="009F2F9A"/>
    <w:rsid w:val="009F3140"/>
    <w:rsid w:val="009F37F1"/>
    <w:rsid w:val="009F42EE"/>
    <w:rsid w:val="009F4373"/>
    <w:rsid w:val="009F4BDC"/>
    <w:rsid w:val="009F6C53"/>
    <w:rsid w:val="009F71D3"/>
    <w:rsid w:val="009F7707"/>
    <w:rsid w:val="009F799B"/>
    <w:rsid w:val="009F7C60"/>
    <w:rsid w:val="00A0032C"/>
    <w:rsid w:val="00A00870"/>
    <w:rsid w:val="00A00934"/>
    <w:rsid w:val="00A01C72"/>
    <w:rsid w:val="00A01EA5"/>
    <w:rsid w:val="00A0211A"/>
    <w:rsid w:val="00A0389F"/>
    <w:rsid w:val="00A03FCD"/>
    <w:rsid w:val="00A04662"/>
    <w:rsid w:val="00A04BB4"/>
    <w:rsid w:val="00A04C60"/>
    <w:rsid w:val="00A05003"/>
    <w:rsid w:val="00A05C95"/>
    <w:rsid w:val="00A07C22"/>
    <w:rsid w:val="00A10168"/>
    <w:rsid w:val="00A107D3"/>
    <w:rsid w:val="00A10A80"/>
    <w:rsid w:val="00A12BCF"/>
    <w:rsid w:val="00A1304F"/>
    <w:rsid w:val="00A13CD5"/>
    <w:rsid w:val="00A1421A"/>
    <w:rsid w:val="00A14A35"/>
    <w:rsid w:val="00A16147"/>
    <w:rsid w:val="00A162B0"/>
    <w:rsid w:val="00A16CC8"/>
    <w:rsid w:val="00A16ED2"/>
    <w:rsid w:val="00A1739B"/>
    <w:rsid w:val="00A2008E"/>
    <w:rsid w:val="00A213ED"/>
    <w:rsid w:val="00A21C1B"/>
    <w:rsid w:val="00A21D84"/>
    <w:rsid w:val="00A22A94"/>
    <w:rsid w:val="00A22E62"/>
    <w:rsid w:val="00A22E88"/>
    <w:rsid w:val="00A23158"/>
    <w:rsid w:val="00A241EC"/>
    <w:rsid w:val="00A3046F"/>
    <w:rsid w:val="00A30CF8"/>
    <w:rsid w:val="00A32874"/>
    <w:rsid w:val="00A32D60"/>
    <w:rsid w:val="00A32FE3"/>
    <w:rsid w:val="00A33136"/>
    <w:rsid w:val="00A3431A"/>
    <w:rsid w:val="00A3479A"/>
    <w:rsid w:val="00A347FB"/>
    <w:rsid w:val="00A34D92"/>
    <w:rsid w:val="00A357B8"/>
    <w:rsid w:val="00A35AF1"/>
    <w:rsid w:val="00A37552"/>
    <w:rsid w:val="00A40002"/>
    <w:rsid w:val="00A40C56"/>
    <w:rsid w:val="00A437D0"/>
    <w:rsid w:val="00A43BB2"/>
    <w:rsid w:val="00A44010"/>
    <w:rsid w:val="00A44322"/>
    <w:rsid w:val="00A4549E"/>
    <w:rsid w:val="00A4598E"/>
    <w:rsid w:val="00A45B9E"/>
    <w:rsid w:val="00A45EAB"/>
    <w:rsid w:val="00A46B39"/>
    <w:rsid w:val="00A4755E"/>
    <w:rsid w:val="00A4759A"/>
    <w:rsid w:val="00A4790D"/>
    <w:rsid w:val="00A47AAF"/>
    <w:rsid w:val="00A501C4"/>
    <w:rsid w:val="00A50C26"/>
    <w:rsid w:val="00A50F76"/>
    <w:rsid w:val="00A514F9"/>
    <w:rsid w:val="00A5179E"/>
    <w:rsid w:val="00A52653"/>
    <w:rsid w:val="00A52687"/>
    <w:rsid w:val="00A52A6E"/>
    <w:rsid w:val="00A533E6"/>
    <w:rsid w:val="00A5408C"/>
    <w:rsid w:val="00A5562A"/>
    <w:rsid w:val="00A55AE3"/>
    <w:rsid w:val="00A55E22"/>
    <w:rsid w:val="00A55FB9"/>
    <w:rsid w:val="00A5618B"/>
    <w:rsid w:val="00A5628F"/>
    <w:rsid w:val="00A563B5"/>
    <w:rsid w:val="00A569F4"/>
    <w:rsid w:val="00A56E89"/>
    <w:rsid w:val="00A56F75"/>
    <w:rsid w:val="00A57206"/>
    <w:rsid w:val="00A57895"/>
    <w:rsid w:val="00A57BEA"/>
    <w:rsid w:val="00A57EE9"/>
    <w:rsid w:val="00A605D6"/>
    <w:rsid w:val="00A60F02"/>
    <w:rsid w:val="00A61DD3"/>
    <w:rsid w:val="00A62BA6"/>
    <w:rsid w:val="00A63916"/>
    <w:rsid w:val="00A63A18"/>
    <w:rsid w:val="00A63AB6"/>
    <w:rsid w:val="00A645D0"/>
    <w:rsid w:val="00A6509C"/>
    <w:rsid w:val="00A652E3"/>
    <w:rsid w:val="00A65431"/>
    <w:rsid w:val="00A65C60"/>
    <w:rsid w:val="00A6618D"/>
    <w:rsid w:val="00A676BE"/>
    <w:rsid w:val="00A67ABF"/>
    <w:rsid w:val="00A67B87"/>
    <w:rsid w:val="00A67CBB"/>
    <w:rsid w:val="00A67ECB"/>
    <w:rsid w:val="00A70092"/>
    <w:rsid w:val="00A703A0"/>
    <w:rsid w:val="00A70EA0"/>
    <w:rsid w:val="00A70EC0"/>
    <w:rsid w:val="00A71B9C"/>
    <w:rsid w:val="00A71DB3"/>
    <w:rsid w:val="00A7275B"/>
    <w:rsid w:val="00A727F0"/>
    <w:rsid w:val="00A72F41"/>
    <w:rsid w:val="00A72FF0"/>
    <w:rsid w:val="00A73798"/>
    <w:rsid w:val="00A74287"/>
    <w:rsid w:val="00A7584B"/>
    <w:rsid w:val="00A75EB3"/>
    <w:rsid w:val="00A76E16"/>
    <w:rsid w:val="00A778FE"/>
    <w:rsid w:val="00A77BF1"/>
    <w:rsid w:val="00A80543"/>
    <w:rsid w:val="00A81849"/>
    <w:rsid w:val="00A8352C"/>
    <w:rsid w:val="00A83BC2"/>
    <w:rsid w:val="00A84034"/>
    <w:rsid w:val="00A84655"/>
    <w:rsid w:val="00A84913"/>
    <w:rsid w:val="00A84C98"/>
    <w:rsid w:val="00A85134"/>
    <w:rsid w:val="00A86079"/>
    <w:rsid w:val="00A868A2"/>
    <w:rsid w:val="00A90757"/>
    <w:rsid w:val="00A921DF"/>
    <w:rsid w:val="00A93D17"/>
    <w:rsid w:val="00A94147"/>
    <w:rsid w:val="00A9415D"/>
    <w:rsid w:val="00A94472"/>
    <w:rsid w:val="00A946D4"/>
    <w:rsid w:val="00A948B1"/>
    <w:rsid w:val="00A951D7"/>
    <w:rsid w:val="00A953B9"/>
    <w:rsid w:val="00A96DD7"/>
    <w:rsid w:val="00A977D0"/>
    <w:rsid w:val="00A97F14"/>
    <w:rsid w:val="00AA0502"/>
    <w:rsid w:val="00AA1832"/>
    <w:rsid w:val="00AA266E"/>
    <w:rsid w:val="00AA2684"/>
    <w:rsid w:val="00AA2F84"/>
    <w:rsid w:val="00AA3A9F"/>
    <w:rsid w:val="00AA3BAE"/>
    <w:rsid w:val="00AA3BDC"/>
    <w:rsid w:val="00AA4BD6"/>
    <w:rsid w:val="00AA4CC5"/>
    <w:rsid w:val="00AA4DB1"/>
    <w:rsid w:val="00AA50E3"/>
    <w:rsid w:val="00AA510D"/>
    <w:rsid w:val="00AA5AE4"/>
    <w:rsid w:val="00AA633E"/>
    <w:rsid w:val="00AA64A8"/>
    <w:rsid w:val="00AA7258"/>
    <w:rsid w:val="00AA7341"/>
    <w:rsid w:val="00AA7C50"/>
    <w:rsid w:val="00AB096E"/>
    <w:rsid w:val="00AB0A50"/>
    <w:rsid w:val="00AB0ED6"/>
    <w:rsid w:val="00AB219B"/>
    <w:rsid w:val="00AB26F0"/>
    <w:rsid w:val="00AB367E"/>
    <w:rsid w:val="00AB3BB6"/>
    <w:rsid w:val="00AB3E72"/>
    <w:rsid w:val="00AB4E86"/>
    <w:rsid w:val="00AB51A9"/>
    <w:rsid w:val="00AB5345"/>
    <w:rsid w:val="00AB5852"/>
    <w:rsid w:val="00AB5AF0"/>
    <w:rsid w:val="00AB62CA"/>
    <w:rsid w:val="00AB6335"/>
    <w:rsid w:val="00AB6702"/>
    <w:rsid w:val="00AB6F3B"/>
    <w:rsid w:val="00AB764A"/>
    <w:rsid w:val="00AB7F13"/>
    <w:rsid w:val="00AC004C"/>
    <w:rsid w:val="00AC0519"/>
    <w:rsid w:val="00AC0773"/>
    <w:rsid w:val="00AC1905"/>
    <w:rsid w:val="00AC1928"/>
    <w:rsid w:val="00AC1E66"/>
    <w:rsid w:val="00AC31BC"/>
    <w:rsid w:val="00AC3751"/>
    <w:rsid w:val="00AC3F9C"/>
    <w:rsid w:val="00AC4098"/>
    <w:rsid w:val="00AC4D2E"/>
    <w:rsid w:val="00AC4DF8"/>
    <w:rsid w:val="00AC50B5"/>
    <w:rsid w:val="00AC5208"/>
    <w:rsid w:val="00AC5E23"/>
    <w:rsid w:val="00AC6745"/>
    <w:rsid w:val="00AC6D74"/>
    <w:rsid w:val="00AC6FF7"/>
    <w:rsid w:val="00AC73BD"/>
    <w:rsid w:val="00AC7885"/>
    <w:rsid w:val="00AC7A65"/>
    <w:rsid w:val="00AD1703"/>
    <w:rsid w:val="00AD1C21"/>
    <w:rsid w:val="00AD2950"/>
    <w:rsid w:val="00AD2B8F"/>
    <w:rsid w:val="00AD352C"/>
    <w:rsid w:val="00AD3545"/>
    <w:rsid w:val="00AD3565"/>
    <w:rsid w:val="00AD4141"/>
    <w:rsid w:val="00AD577C"/>
    <w:rsid w:val="00AD58DC"/>
    <w:rsid w:val="00AD5A70"/>
    <w:rsid w:val="00AD6026"/>
    <w:rsid w:val="00AD60FF"/>
    <w:rsid w:val="00AD7685"/>
    <w:rsid w:val="00AE0888"/>
    <w:rsid w:val="00AE08F6"/>
    <w:rsid w:val="00AE097C"/>
    <w:rsid w:val="00AE11A2"/>
    <w:rsid w:val="00AE1C1A"/>
    <w:rsid w:val="00AE3140"/>
    <w:rsid w:val="00AE380B"/>
    <w:rsid w:val="00AE3BFE"/>
    <w:rsid w:val="00AE3DA7"/>
    <w:rsid w:val="00AE4449"/>
    <w:rsid w:val="00AE4F48"/>
    <w:rsid w:val="00AE5C84"/>
    <w:rsid w:val="00AE62A9"/>
    <w:rsid w:val="00AE6305"/>
    <w:rsid w:val="00AE64B2"/>
    <w:rsid w:val="00AE6A70"/>
    <w:rsid w:val="00AE6E69"/>
    <w:rsid w:val="00AF0308"/>
    <w:rsid w:val="00AF0458"/>
    <w:rsid w:val="00AF07CA"/>
    <w:rsid w:val="00AF0A2C"/>
    <w:rsid w:val="00AF15B9"/>
    <w:rsid w:val="00AF15F5"/>
    <w:rsid w:val="00AF1DD1"/>
    <w:rsid w:val="00AF2684"/>
    <w:rsid w:val="00AF2C41"/>
    <w:rsid w:val="00AF2D14"/>
    <w:rsid w:val="00AF2D1F"/>
    <w:rsid w:val="00AF3AEB"/>
    <w:rsid w:val="00AF4963"/>
    <w:rsid w:val="00AF4EF8"/>
    <w:rsid w:val="00AF50BE"/>
    <w:rsid w:val="00AF52F2"/>
    <w:rsid w:val="00AF53AE"/>
    <w:rsid w:val="00AF5451"/>
    <w:rsid w:val="00AF56E3"/>
    <w:rsid w:val="00AF6079"/>
    <w:rsid w:val="00AF643B"/>
    <w:rsid w:val="00AF6DF4"/>
    <w:rsid w:val="00AF74B1"/>
    <w:rsid w:val="00AF77A7"/>
    <w:rsid w:val="00AF7AD9"/>
    <w:rsid w:val="00B0013C"/>
    <w:rsid w:val="00B00345"/>
    <w:rsid w:val="00B02329"/>
    <w:rsid w:val="00B02686"/>
    <w:rsid w:val="00B02E28"/>
    <w:rsid w:val="00B03344"/>
    <w:rsid w:val="00B0396D"/>
    <w:rsid w:val="00B041B7"/>
    <w:rsid w:val="00B04368"/>
    <w:rsid w:val="00B04A2D"/>
    <w:rsid w:val="00B05397"/>
    <w:rsid w:val="00B057A9"/>
    <w:rsid w:val="00B05873"/>
    <w:rsid w:val="00B05EE8"/>
    <w:rsid w:val="00B068EB"/>
    <w:rsid w:val="00B06911"/>
    <w:rsid w:val="00B07034"/>
    <w:rsid w:val="00B073B9"/>
    <w:rsid w:val="00B07891"/>
    <w:rsid w:val="00B10199"/>
    <w:rsid w:val="00B1056C"/>
    <w:rsid w:val="00B10C17"/>
    <w:rsid w:val="00B110B0"/>
    <w:rsid w:val="00B11709"/>
    <w:rsid w:val="00B11FC4"/>
    <w:rsid w:val="00B122E1"/>
    <w:rsid w:val="00B12369"/>
    <w:rsid w:val="00B12A7E"/>
    <w:rsid w:val="00B13184"/>
    <w:rsid w:val="00B132DA"/>
    <w:rsid w:val="00B140FE"/>
    <w:rsid w:val="00B154E9"/>
    <w:rsid w:val="00B15957"/>
    <w:rsid w:val="00B15ED8"/>
    <w:rsid w:val="00B20C8F"/>
    <w:rsid w:val="00B21862"/>
    <w:rsid w:val="00B21FCA"/>
    <w:rsid w:val="00B2208A"/>
    <w:rsid w:val="00B22836"/>
    <w:rsid w:val="00B228E9"/>
    <w:rsid w:val="00B2293B"/>
    <w:rsid w:val="00B22BDF"/>
    <w:rsid w:val="00B22F7C"/>
    <w:rsid w:val="00B230ED"/>
    <w:rsid w:val="00B2345D"/>
    <w:rsid w:val="00B23719"/>
    <w:rsid w:val="00B23C4E"/>
    <w:rsid w:val="00B2404F"/>
    <w:rsid w:val="00B24252"/>
    <w:rsid w:val="00B242E8"/>
    <w:rsid w:val="00B2438A"/>
    <w:rsid w:val="00B2638B"/>
    <w:rsid w:val="00B26CD3"/>
    <w:rsid w:val="00B2754F"/>
    <w:rsid w:val="00B305D0"/>
    <w:rsid w:val="00B30629"/>
    <w:rsid w:val="00B308DA"/>
    <w:rsid w:val="00B30935"/>
    <w:rsid w:val="00B3107B"/>
    <w:rsid w:val="00B3138C"/>
    <w:rsid w:val="00B320C7"/>
    <w:rsid w:val="00B3327E"/>
    <w:rsid w:val="00B33334"/>
    <w:rsid w:val="00B33BB6"/>
    <w:rsid w:val="00B33F6B"/>
    <w:rsid w:val="00B34608"/>
    <w:rsid w:val="00B3506A"/>
    <w:rsid w:val="00B354D3"/>
    <w:rsid w:val="00B3591E"/>
    <w:rsid w:val="00B35C0D"/>
    <w:rsid w:val="00B3624A"/>
    <w:rsid w:val="00B36325"/>
    <w:rsid w:val="00B37571"/>
    <w:rsid w:val="00B379A7"/>
    <w:rsid w:val="00B40754"/>
    <w:rsid w:val="00B409AD"/>
    <w:rsid w:val="00B41AC4"/>
    <w:rsid w:val="00B42062"/>
    <w:rsid w:val="00B43383"/>
    <w:rsid w:val="00B436FC"/>
    <w:rsid w:val="00B439C4"/>
    <w:rsid w:val="00B43B5F"/>
    <w:rsid w:val="00B44255"/>
    <w:rsid w:val="00B446AB"/>
    <w:rsid w:val="00B44FA6"/>
    <w:rsid w:val="00B459C4"/>
    <w:rsid w:val="00B45E05"/>
    <w:rsid w:val="00B4621D"/>
    <w:rsid w:val="00B4633D"/>
    <w:rsid w:val="00B47166"/>
    <w:rsid w:val="00B47DEB"/>
    <w:rsid w:val="00B500E5"/>
    <w:rsid w:val="00B5104B"/>
    <w:rsid w:val="00B5106D"/>
    <w:rsid w:val="00B510AD"/>
    <w:rsid w:val="00B51A31"/>
    <w:rsid w:val="00B5209E"/>
    <w:rsid w:val="00B54619"/>
    <w:rsid w:val="00B55170"/>
    <w:rsid w:val="00B5597C"/>
    <w:rsid w:val="00B561B7"/>
    <w:rsid w:val="00B56D39"/>
    <w:rsid w:val="00B57041"/>
    <w:rsid w:val="00B57CAE"/>
    <w:rsid w:val="00B57DDB"/>
    <w:rsid w:val="00B57FE8"/>
    <w:rsid w:val="00B60271"/>
    <w:rsid w:val="00B60C57"/>
    <w:rsid w:val="00B60E7F"/>
    <w:rsid w:val="00B63558"/>
    <w:rsid w:val="00B63E77"/>
    <w:rsid w:val="00B64CA4"/>
    <w:rsid w:val="00B64DC7"/>
    <w:rsid w:val="00B650D6"/>
    <w:rsid w:val="00B667B3"/>
    <w:rsid w:val="00B672AF"/>
    <w:rsid w:val="00B67D1C"/>
    <w:rsid w:val="00B70185"/>
    <w:rsid w:val="00B70870"/>
    <w:rsid w:val="00B70B5F"/>
    <w:rsid w:val="00B70D3E"/>
    <w:rsid w:val="00B71040"/>
    <w:rsid w:val="00B7119D"/>
    <w:rsid w:val="00B714C6"/>
    <w:rsid w:val="00B72685"/>
    <w:rsid w:val="00B73B00"/>
    <w:rsid w:val="00B74828"/>
    <w:rsid w:val="00B7539A"/>
    <w:rsid w:val="00B75472"/>
    <w:rsid w:val="00B75537"/>
    <w:rsid w:val="00B75AD6"/>
    <w:rsid w:val="00B75BE9"/>
    <w:rsid w:val="00B76028"/>
    <w:rsid w:val="00B7637E"/>
    <w:rsid w:val="00B7660B"/>
    <w:rsid w:val="00B76F7E"/>
    <w:rsid w:val="00B77128"/>
    <w:rsid w:val="00B80A35"/>
    <w:rsid w:val="00B81820"/>
    <w:rsid w:val="00B81D1F"/>
    <w:rsid w:val="00B81EEC"/>
    <w:rsid w:val="00B81F09"/>
    <w:rsid w:val="00B8269E"/>
    <w:rsid w:val="00B83002"/>
    <w:rsid w:val="00B8362F"/>
    <w:rsid w:val="00B83ABB"/>
    <w:rsid w:val="00B842B5"/>
    <w:rsid w:val="00B8463A"/>
    <w:rsid w:val="00B84A05"/>
    <w:rsid w:val="00B8552C"/>
    <w:rsid w:val="00B85573"/>
    <w:rsid w:val="00B86B8F"/>
    <w:rsid w:val="00B86E2A"/>
    <w:rsid w:val="00B87A10"/>
    <w:rsid w:val="00B87A72"/>
    <w:rsid w:val="00B87B9E"/>
    <w:rsid w:val="00B911C2"/>
    <w:rsid w:val="00B9194B"/>
    <w:rsid w:val="00B91ED7"/>
    <w:rsid w:val="00B91FBD"/>
    <w:rsid w:val="00B922AA"/>
    <w:rsid w:val="00B92939"/>
    <w:rsid w:val="00B92A69"/>
    <w:rsid w:val="00B93441"/>
    <w:rsid w:val="00B9369D"/>
    <w:rsid w:val="00B94938"/>
    <w:rsid w:val="00B94F6E"/>
    <w:rsid w:val="00B95A13"/>
    <w:rsid w:val="00B95C27"/>
    <w:rsid w:val="00B96138"/>
    <w:rsid w:val="00B96EDB"/>
    <w:rsid w:val="00B9709C"/>
    <w:rsid w:val="00B973BD"/>
    <w:rsid w:val="00B97423"/>
    <w:rsid w:val="00BA0045"/>
    <w:rsid w:val="00BA064E"/>
    <w:rsid w:val="00BA0671"/>
    <w:rsid w:val="00BA0846"/>
    <w:rsid w:val="00BA0E2F"/>
    <w:rsid w:val="00BA0E58"/>
    <w:rsid w:val="00BA13DE"/>
    <w:rsid w:val="00BA19EB"/>
    <w:rsid w:val="00BA1CF7"/>
    <w:rsid w:val="00BA2D99"/>
    <w:rsid w:val="00BA46A4"/>
    <w:rsid w:val="00BA5157"/>
    <w:rsid w:val="00BA5A0F"/>
    <w:rsid w:val="00BA5A6C"/>
    <w:rsid w:val="00BA690D"/>
    <w:rsid w:val="00BA709F"/>
    <w:rsid w:val="00BA7E7B"/>
    <w:rsid w:val="00BB10FC"/>
    <w:rsid w:val="00BB118E"/>
    <w:rsid w:val="00BB1929"/>
    <w:rsid w:val="00BB20DC"/>
    <w:rsid w:val="00BB3A20"/>
    <w:rsid w:val="00BB3E17"/>
    <w:rsid w:val="00BB5F0F"/>
    <w:rsid w:val="00BB6592"/>
    <w:rsid w:val="00BB6D28"/>
    <w:rsid w:val="00BB75DE"/>
    <w:rsid w:val="00BB7775"/>
    <w:rsid w:val="00BB7D5D"/>
    <w:rsid w:val="00BC0DAF"/>
    <w:rsid w:val="00BC12E6"/>
    <w:rsid w:val="00BC1952"/>
    <w:rsid w:val="00BC2109"/>
    <w:rsid w:val="00BC23BF"/>
    <w:rsid w:val="00BC2855"/>
    <w:rsid w:val="00BC2BA1"/>
    <w:rsid w:val="00BC32FD"/>
    <w:rsid w:val="00BC3CC6"/>
    <w:rsid w:val="00BC417C"/>
    <w:rsid w:val="00BC45AF"/>
    <w:rsid w:val="00BC5563"/>
    <w:rsid w:val="00BC5C71"/>
    <w:rsid w:val="00BC5D5C"/>
    <w:rsid w:val="00BC62C5"/>
    <w:rsid w:val="00BC6707"/>
    <w:rsid w:val="00BC7543"/>
    <w:rsid w:val="00BC75BE"/>
    <w:rsid w:val="00BC7625"/>
    <w:rsid w:val="00BC7A26"/>
    <w:rsid w:val="00BD034B"/>
    <w:rsid w:val="00BD4AC2"/>
    <w:rsid w:val="00BD4CC4"/>
    <w:rsid w:val="00BD576B"/>
    <w:rsid w:val="00BD59E1"/>
    <w:rsid w:val="00BD5A93"/>
    <w:rsid w:val="00BD5E6D"/>
    <w:rsid w:val="00BD7AB2"/>
    <w:rsid w:val="00BE0007"/>
    <w:rsid w:val="00BE03C6"/>
    <w:rsid w:val="00BE0820"/>
    <w:rsid w:val="00BE0BDB"/>
    <w:rsid w:val="00BE19A9"/>
    <w:rsid w:val="00BE1C69"/>
    <w:rsid w:val="00BE2780"/>
    <w:rsid w:val="00BE2C57"/>
    <w:rsid w:val="00BE2F08"/>
    <w:rsid w:val="00BE38FD"/>
    <w:rsid w:val="00BE3B8E"/>
    <w:rsid w:val="00BE5086"/>
    <w:rsid w:val="00BE5ADA"/>
    <w:rsid w:val="00BE5CAD"/>
    <w:rsid w:val="00BE5DFA"/>
    <w:rsid w:val="00BE5E10"/>
    <w:rsid w:val="00BE69AF"/>
    <w:rsid w:val="00BE6EFC"/>
    <w:rsid w:val="00BE70FA"/>
    <w:rsid w:val="00BE7663"/>
    <w:rsid w:val="00BE79FE"/>
    <w:rsid w:val="00BF072F"/>
    <w:rsid w:val="00BF0870"/>
    <w:rsid w:val="00BF0A4B"/>
    <w:rsid w:val="00BF1180"/>
    <w:rsid w:val="00BF1814"/>
    <w:rsid w:val="00BF1838"/>
    <w:rsid w:val="00BF1942"/>
    <w:rsid w:val="00BF19AF"/>
    <w:rsid w:val="00BF1E2F"/>
    <w:rsid w:val="00BF327A"/>
    <w:rsid w:val="00BF32DB"/>
    <w:rsid w:val="00BF3700"/>
    <w:rsid w:val="00BF3A30"/>
    <w:rsid w:val="00BF4D3A"/>
    <w:rsid w:val="00BF707C"/>
    <w:rsid w:val="00BF71A8"/>
    <w:rsid w:val="00BF777C"/>
    <w:rsid w:val="00BF7D11"/>
    <w:rsid w:val="00C00DA4"/>
    <w:rsid w:val="00C00EDB"/>
    <w:rsid w:val="00C0116B"/>
    <w:rsid w:val="00C0163C"/>
    <w:rsid w:val="00C01F20"/>
    <w:rsid w:val="00C02365"/>
    <w:rsid w:val="00C02631"/>
    <w:rsid w:val="00C02F7F"/>
    <w:rsid w:val="00C04FF9"/>
    <w:rsid w:val="00C05A0F"/>
    <w:rsid w:val="00C061A5"/>
    <w:rsid w:val="00C066D9"/>
    <w:rsid w:val="00C0683F"/>
    <w:rsid w:val="00C06CFA"/>
    <w:rsid w:val="00C07369"/>
    <w:rsid w:val="00C07610"/>
    <w:rsid w:val="00C07703"/>
    <w:rsid w:val="00C10974"/>
    <w:rsid w:val="00C10DE7"/>
    <w:rsid w:val="00C11208"/>
    <w:rsid w:val="00C11341"/>
    <w:rsid w:val="00C113E9"/>
    <w:rsid w:val="00C1278A"/>
    <w:rsid w:val="00C13C91"/>
    <w:rsid w:val="00C148D1"/>
    <w:rsid w:val="00C15665"/>
    <w:rsid w:val="00C16D24"/>
    <w:rsid w:val="00C175DE"/>
    <w:rsid w:val="00C20130"/>
    <w:rsid w:val="00C203FE"/>
    <w:rsid w:val="00C20416"/>
    <w:rsid w:val="00C21810"/>
    <w:rsid w:val="00C21A45"/>
    <w:rsid w:val="00C21AC6"/>
    <w:rsid w:val="00C22680"/>
    <w:rsid w:val="00C22804"/>
    <w:rsid w:val="00C2325F"/>
    <w:rsid w:val="00C23883"/>
    <w:rsid w:val="00C23D61"/>
    <w:rsid w:val="00C24FAE"/>
    <w:rsid w:val="00C30487"/>
    <w:rsid w:val="00C30C70"/>
    <w:rsid w:val="00C30FC7"/>
    <w:rsid w:val="00C312B9"/>
    <w:rsid w:val="00C314FE"/>
    <w:rsid w:val="00C315F4"/>
    <w:rsid w:val="00C332EB"/>
    <w:rsid w:val="00C33E1C"/>
    <w:rsid w:val="00C355FE"/>
    <w:rsid w:val="00C35B57"/>
    <w:rsid w:val="00C3698D"/>
    <w:rsid w:val="00C37FBD"/>
    <w:rsid w:val="00C403BB"/>
    <w:rsid w:val="00C40DF0"/>
    <w:rsid w:val="00C41254"/>
    <w:rsid w:val="00C41684"/>
    <w:rsid w:val="00C4201D"/>
    <w:rsid w:val="00C42138"/>
    <w:rsid w:val="00C426AC"/>
    <w:rsid w:val="00C42FD2"/>
    <w:rsid w:val="00C43263"/>
    <w:rsid w:val="00C43CE5"/>
    <w:rsid w:val="00C440E0"/>
    <w:rsid w:val="00C44150"/>
    <w:rsid w:val="00C4421E"/>
    <w:rsid w:val="00C44453"/>
    <w:rsid w:val="00C4456A"/>
    <w:rsid w:val="00C45252"/>
    <w:rsid w:val="00C456F4"/>
    <w:rsid w:val="00C470D6"/>
    <w:rsid w:val="00C47E1F"/>
    <w:rsid w:val="00C50100"/>
    <w:rsid w:val="00C50319"/>
    <w:rsid w:val="00C51B0E"/>
    <w:rsid w:val="00C51FE0"/>
    <w:rsid w:val="00C52102"/>
    <w:rsid w:val="00C52556"/>
    <w:rsid w:val="00C52B83"/>
    <w:rsid w:val="00C53398"/>
    <w:rsid w:val="00C53FC9"/>
    <w:rsid w:val="00C5449B"/>
    <w:rsid w:val="00C54F41"/>
    <w:rsid w:val="00C556A0"/>
    <w:rsid w:val="00C55A14"/>
    <w:rsid w:val="00C56545"/>
    <w:rsid w:val="00C565B3"/>
    <w:rsid w:val="00C5734B"/>
    <w:rsid w:val="00C57751"/>
    <w:rsid w:val="00C57A01"/>
    <w:rsid w:val="00C60002"/>
    <w:rsid w:val="00C60285"/>
    <w:rsid w:val="00C611F6"/>
    <w:rsid w:val="00C61F69"/>
    <w:rsid w:val="00C620C8"/>
    <w:rsid w:val="00C63E8B"/>
    <w:rsid w:val="00C64390"/>
    <w:rsid w:val="00C645BB"/>
    <w:rsid w:val="00C64A57"/>
    <w:rsid w:val="00C651B3"/>
    <w:rsid w:val="00C652A0"/>
    <w:rsid w:val="00C66421"/>
    <w:rsid w:val="00C70982"/>
    <w:rsid w:val="00C71938"/>
    <w:rsid w:val="00C71A72"/>
    <w:rsid w:val="00C71F31"/>
    <w:rsid w:val="00C725AF"/>
    <w:rsid w:val="00C733BB"/>
    <w:rsid w:val="00C7341A"/>
    <w:rsid w:val="00C7398B"/>
    <w:rsid w:val="00C745F9"/>
    <w:rsid w:val="00C7470F"/>
    <w:rsid w:val="00C748D7"/>
    <w:rsid w:val="00C74A8B"/>
    <w:rsid w:val="00C7535A"/>
    <w:rsid w:val="00C75756"/>
    <w:rsid w:val="00C757A8"/>
    <w:rsid w:val="00C75EE8"/>
    <w:rsid w:val="00C75F88"/>
    <w:rsid w:val="00C76605"/>
    <w:rsid w:val="00C7777B"/>
    <w:rsid w:val="00C77A93"/>
    <w:rsid w:val="00C80443"/>
    <w:rsid w:val="00C80B58"/>
    <w:rsid w:val="00C8134A"/>
    <w:rsid w:val="00C824A4"/>
    <w:rsid w:val="00C82659"/>
    <w:rsid w:val="00C826C0"/>
    <w:rsid w:val="00C82B92"/>
    <w:rsid w:val="00C8302E"/>
    <w:rsid w:val="00C83456"/>
    <w:rsid w:val="00C834C7"/>
    <w:rsid w:val="00C847A3"/>
    <w:rsid w:val="00C854B0"/>
    <w:rsid w:val="00C855B9"/>
    <w:rsid w:val="00C85740"/>
    <w:rsid w:val="00C85D14"/>
    <w:rsid w:val="00C85DA3"/>
    <w:rsid w:val="00C871DE"/>
    <w:rsid w:val="00C900C2"/>
    <w:rsid w:val="00C90BB5"/>
    <w:rsid w:val="00C90D4C"/>
    <w:rsid w:val="00C91F10"/>
    <w:rsid w:val="00C92706"/>
    <w:rsid w:val="00C937AE"/>
    <w:rsid w:val="00C946C8"/>
    <w:rsid w:val="00C9497F"/>
    <w:rsid w:val="00C950AE"/>
    <w:rsid w:val="00C96194"/>
    <w:rsid w:val="00C962C7"/>
    <w:rsid w:val="00C96ADE"/>
    <w:rsid w:val="00C96D69"/>
    <w:rsid w:val="00C9711A"/>
    <w:rsid w:val="00CA02C5"/>
    <w:rsid w:val="00CA1A0F"/>
    <w:rsid w:val="00CA2BCD"/>
    <w:rsid w:val="00CA32B5"/>
    <w:rsid w:val="00CA3629"/>
    <w:rsid w:val="00CA4664"/>
    <w:rsid w:val="00CA4842"/>
    <w:rsid w:val="00CA4B38"/>
    <w:rsid w:val="00CA51BD"/>
    <w:rsid w:val="00CA6B99"/>
    <w:rsid w:val="00CA7056"/>
    <w:rsid w:val="00CA7768"/>
    <w:rsid w:val="00CA7817"/>
    <w:rsid w:val="00CA7A69"/>
    <w:rsid w:val="00CA7D85"/>
    <w:rsid w:val="00CB03F8"/>
    <w:rsid w:val="00CB08D4"/>
    <w:rsid w:val="00CB0D44"/>
    <w:rsid w:val="00CB123B"/>
    <w:rsid w:val="00CB1502"/>
    <w:rsid w:val="00CB18A0"/>
    <w:rsid w:val="00CB1CDD"/>
    <w:rsid w:val="00CB1DF7"/>
    <w:rsid w:val="00CB2392"/>
    <w:rsid w:val="00CB2599"/>
    <w:rsid w:val="00CB286E"/>
    <w:rsid w:val="00CB36CB"/>
    <w:rsid w:val="00CB4776"/>
    <w:rsid w:val="00CB4DA1"/>
    <w:rsid w:val="00CB5033"/>
    <w:rsid w:val="00CB51B5"/>
    <w:rsid w:val="00CB6017"/>
    <w:rsid w:val="00CB618B"/>
    <w:rsid w:val="00CB7230"/>
    <w:rsid w:val="00CC052A"/>
    <w:rsid w:val="00CC0858"/>
    <w:rsid w:val="00CC11F3"/>
    <w:rsid w:val="00CC1712"/>
    <w:rsid w:val="00CC2105"/>
    <w:rsid w:val="00CC2382"/>
    <w:rsid w:val="00CC293F"/>
    <w:rsid w:val="00CC38C7"/>
    <w:rsid w:val="00CC3A03"/>
    <w:rsid w:val="00CC3EC1"/>
    <w:rsid w:val="00CC5498"/>
    <w:rsid w:val="00CC5766"/>
    <w:rsid w:val="00CC5A97"/>
    <w:rsid w:val="00CC6032"/>
    <w:rsid w:val="00CC6204"/>
    <w:rsid w:val="00CC6B19"/>
    <w:rsid w:val="00CC75D4"/>
    <w:rsid w:val="00CC7D91"/>
    <w:rsid w:val="00CD05DF"/>
    <w:rsid w:val="00CD0941"/>
    <w:rsid w:val="00CD0E15"/>
    <w:rsid w:val="00CD1313"/>
    <w:rsid w:val="00CD15A4"/>
    <w:rsid w:val="00CD17A9"/>
    <w:rsid w:val="00CD1AD7"/>
    <w:rsid w:val="00CD2905"/>
    <w:rsid w:val="00CD2C6D"/>
    <w:rsid w:val="00CD3052"/>
    <w:rsid w:val="00CD398E"/>
    <w:rsid w:val="00CD42C7"/>
    <w:rsid w:val="00CD4D84"/>
    <w:rsid w:val="00CD5021"/>
    <w:rsid w:val="00CD5360"/>
    <w:rsid w:val="00CD54BF"/>
    <w:rsid w:val="00CD5597"/>
    <w:rsid w:val="00CD5A47"/>
    <w:rsid w:val="00CD5D4D"/>
    <w:rsid w:val="00CD61E3"/>
    <w:rsid w:val="00CD6803"/>
    <w:rsid w:val="00CD75E4"/>
    <w:rsid w:val="00CE0303"/>
    <w:rsid w:val="00CE0CCD"/>
    <w:rsid w:val="00CE0CEE"/>
    <w:rsid w:val="00CE0F7B"/>
    <w:rsid w:val="00CE17B3"/>
    <w:rsid w:val="00CE204E"/>
    <w:rsid w:val="00CE2398"/>
    <w:rsid w:val="00CE23EF"/>
    <w:rsid w:val="00CE3DFC"/>
    <w:rsid w:val="00CE45A3"/>
    <w:rsid w:val="00CE4CA5"/>
    <w:rsid w:val="00CE57A9"/>
    <w:rsid w:val="00CE69B9"/>
    <w:rsid w:val="00CE6E13"/>
    <w:rsid w:val="00CE74DE"/>
    <w:rsid w:val="00CE7BB1"/>
    <w:rsid w:val="00CF0923"/>
    <w:rsid w:val="00CF12DA"/>
    <w:rsid w:val="00CF1AF6"/>
    <w:rsid w:val="00CF1EF4"/>
    <w:rsid w:val="00CF2ADE"/>
    <w:rsid w:val="00CF2B26"/>
    <w:rsid w:val="00CF359A"/>
    <w:rsid w:val="00CF46B4"/>
    <w:rsid w:val="00CF5561"/>
    <w:rsid w:val="00CF639F"/>
    <w:rsid w:val="00CF6A6A"/>
    <w:rsid w:val="00CF6BDD"/>
    <w:rsid w:val="00CF6EEC"/>
    <w:rsid w:val="00CF70D5"/>
    <w:rsid w:val="00CF7166"/>
    <w:rsid w:val="00CF7D3E"/>
    <w:rsid w:val="00D00515"/>
    <w:rsid w:val="00D00EDC"/>
    <w:rsid w:val="00D00FB0"/>
    <w:rsid w:val="00D0140A"/>
    <w:rsid w:val="00D0165D"/>
    <w:rsid w:val="00D01A42"/>
    <w:rsid w:val="00D0305B"/>
    <w:rsid w:val="00D040FC"/>
    <w:rsid w:val="00D04405"/>
    <w:rsid w:val="00D04ABE"/>
    <w:rsid w:val="00D05DC2"/>
    <w:rsid w:val="00D06453"/>
    <w:rsid w:val="00D067F5"/>
    <w:rsid w:val="00D07A71"/>
    <w:rsid w:val="00D07BB1"/>
    <w:rsid w:val="00D07F55"/>
    <w:rsid w:val="00D1010B"/>
    <w:rsid w:val="00D11768"/>
    <w:rsid w:val="00D11CC9"/>
    <w:rsid w:val="00D120A7"/>
    <w:rsid w:val="00D12A55"/>
    <w:rsid w:val="00D131A0"/>
    <w:rsid w:val="00D1323E"/>
    <w:rsid w:val="00D132DE"/>
    <w:rsid w:val="00D13F99"/>
    <w:rsid w:val="00D1459F"/>
    <w:rsid w:val="00D14F22"/>
    <w:rsid w:val="00D153F1"/>
    <w:rsid w:val="00D15543"/>
    <w:rsid w:val="00D15744"/>
    <w:rsid w:val="00D159D6"/>
    <w:rsid w:val="00D15CC8"/>
    <w:rsid w:val="00D160D7"/>
    <w:rsid w:val="00D165AE"/>
    <w:rsid w:val="00D166D6"/>
    <w:rsid w:val="00D17310"/>
    <w:rsid w:val="00D176EA"/>
    <w:rsid w:val="00D17F5D"/>
    <w:rsid w:val="00D202A7"/>
    <w:rsid w:val="00D20E74"/>
    <w:rsid w:val="00D21529"/>
    <w:rsid w:val="00D221E1"/>
    <w:rsid w:val="00D223F8"/>
    <w:rsid w:val="00D22772"/>
    <w:rsid w:val="00D22D5E"/>
    <w:rsid w:val="00D23438"/>
    <w:rsid w:val="00D23BB1"/>
    <w:rsid w:val="00D241AC"/>
    <w:rsid w:val="00D243E7"/>
    <w:rsid w:val="00D24F13"/>
    <w:rsid w:val="00D254A9"/>
    <w:rsid w:val="00D25534"/>
    <w:rsid w:val="00D2569B"/>
    <w:rsid w:val="00D2583D"/>
    <w:rsid w:val="00D26555"/>
    <w:rsid w:val="00D26BD4"/>
    <w:rsid w:val="00D27256"/>
    <w:rsid w:val="00D27A78"/>
    <w:rsid w:val="00D302A5"/>
    <w:rsid w:val="00D3040B"/>
    <w:rsid w:val="00D30A6E"/>
    <w:rsid w:val="00D30B4A"/>
    <w:rsid w:val="00D31881"/>
    <w:rsid w:val="00D31B96"/>
    <w:rsid w:val="00D327D0"/>
    <w:rsid w:val="00D32A91"/>
    <w:rsid w:val="00D331D5"/>
    <w:rsid w:val="00D337E6"/>
    <w:rsid w:val="00D3396A"/>
    <w:rsid w:val="00D33A98"/>
    <w:rsid w:val="00D33D62"/>
    <w:rsid w:val="00D3418C"/>
    <w:rsid w:val="00D358DC"/>
    <w:rsid w:val="00D35BCD"/>
    <w:rsid w:val="00D35DBF"/>
    <w:rsid w:val="00D36341"/>
    <w:rsid w:val="00D3649B"/>
    <w:rsid w:val="00D3709C"/>
    <w:rsid w:val="00D3712B"/>
    <w:rsid w:val="00D37346"/>
    <w:rsid w:val="00D37359"/>
    <w:rsid w:val="00D37F16"/>
    <w:rsid w:val="00D40D01"/>
    <w:rsid w:val="00D4224B"/>
    <w:rsid w:val="00D4266B"/>
    <w:rsid w:val="00D42BFA"/>
    <w:rsid w:val="00D43424"/>
    <w:rsid w:val="00D4392A"/>
    <w:rsid w:val="00D44435"/>
    <w:rsid w:val="00D44A1C"/>
    <w:rsid w:val="00D44E8F"/>
    <w:rsid w:val="00D451F2"/>
    <w:rsid w:val="00D47EAD"/>
    <w:rsid w:val="00D5111B"/>
    <w:rsid w:val="00D51793"/>
    <w:rsid w:val="00D51A32"/>
    <w:rsid w:val="00D51A9F"/>
    <w:rsid w:val="00D51B5D"/>
    <w:rsid w:val="00D528C5"/>
    <w:rsid w:val="00D52AE7"/>
    <w:rsid w:val="00D52CE5"/>
    <w:rsid w:val="00D53125"/>
    <w:rsid w:val="00D531AB"/>
    <w:rsid w:val="00D53576"/>
    <w:rsid w:val="00D537CE"/>
    <w:rsid w:val="00D53902"/>
    <w:rsid w:val="00D53F6D"/>
    <w:rsid w:val="00D55227"/>
    <w:rsid w:val="00D5533B"/>
    <w:rsid w:val="00D55795"/>
    <w:rsid w:val="00D5587F"/>
    <w:rsid w:val="00D558F9"/>
    <w:rsid w:val="00D560B8"/>
    <w:rsid w:val="00D5682F"/>
    <w:rsid w:val="00D57884"/>
    <w:rsid w:val="00D57B10"/>
    <w:rsid w:val="00D57C0F"/>
    <w:rsid w:val="00D57C20"/>
    <w:rsid w:val="00D6043D"/>
    <w:rsid w:val="00D60E50"/>
    <w:rsid w:val="00D60EB1"/>
    <w:rsid w:val="00D60EBE"/>
    <w:rsid w:val="00D629B3"/>
    <w:rsid w:val="00D62DC6"/>
    <w:rsid w:val="00D63929"/>
    <w:rsid w:val="00D654CD"/>
    <w:rsid w:val="00D65C04"/>
    <w:rsid w:val="00D667F9"/>
    <w:rsid w:val="00D66F9F"/>
    <w:rsid w:val="00D67586"/>
    <w:rsid w:val="00D676BB"/>
    <w:rsid w:val="00D67AD5"/>
    <w:rsid w:val="00D70420"/>
    <w:rsid w:val="00D707BD"/>
    <w:rsid w:val="00D70D07"/>
    <w:rsid w:val="00D70F1E"/>
    <w:rsid w:val="00D712EF"/>
    <w:rsid w:val="00D71731"/>
    <w:rsid w:val="00D71957"/>
    <w:rsid w:val="00D726BD"/>
    <w:rsid w:val="00D72BBA"/>
    <w:rsid w:val="00D7322D"/>
    <w:rsid w:val="00D73C71"/>
    <w:rsid w:val="00D7406E"/>
    <w:rsid w:val="00D747F9"/>
    <w:rsid w:val="00D74A6D"/>
    <w:rsid w:val="00D75BB2"/>
    <w:rsid w:val="00D75D3C"/>
    <w:rsid w:val="00D75EC1"/>
    <w:rsid w:val="00D76895"/>
    <w:rsid w:val="00D769A2"/>
    <w:rsid w:val="00D76ADB"/>
    <w:rsid w:val="00D771CA"/>
    <w:rsid w:val="00D80B37"/>
    <w:rsid w:val="00D80F3F"/>
    <w:rsid w:val="00D81406"/>
    <w:rsid w:val="00D829F5"/>
    <w:rsid w:val="00D829FB"/>
    <w:rsid w:val="00D8394F"/>
    <w:rsid w:val="00D83C1E"/>
    <w:rsid w:val="00D84268"/>
    <w:rsid w:val="00D851F9"/>
    <w:rsid w:val="00D85A59"/>
    <w:rsid w:val="00D86007"/>
    <w:rsid w:val="00D86BD0"/>
    <w:rsid w:val="00D86DA7"/>
    <w:rsid w:val="00D8701B"/>
    <w:rsid w:val="00D871D8"/>
    <w:rsid w:val="00D875C5"/>
    <w:rsid w:val="00D877F4"/>
    <w:rsid w:val="00D878D9"/>
    <w:rsid w:val="00D87D02"/>
    <w:rsid w:val="00D90C7F"/>
    <w:rsid w:val="00D91927"/>
    <w:rsid w:val="00D91944"/>
    <w:rsid w:val="00D91AFC"/>
    <w:rsid w:val="00D91B5D"/>
    <w:rsid w:val="00D91CA1"/>
    <w:rsid w:val="00D920B0"/>
    <w:rsid w:val="00D925FE"/>
    <w:rsid w:val="00D9278A"/>
    <w:rsid w:val="00D92FB3"/>
    <w:rsid w:val="00D932B0"/>
    <w:rsid w:val="00D934F1"/>
    <w:rsid w:val="00D93521"/>
    <w:rsid w:val="00D94FE5"/>
    <w:rsid w:val="00D954B8"/>
    <w:rsid w:val="00D9670B"/>
    <w:rsid w:val="00D969F4"/>
    <w:rsid w:val="00D96F42"/>
    <w:rsid w:val="00D972EE"/>
    <w:rsid w:val="00D9731B"/>
    <w:rsid w:val="00D97419"/>
    <w:rsid w:val="00D975E7"/>
    <w:rsid w:val="00D97AF8"/>
    <w:rsid w:val="00D97C39"/>
    <w:rsid w:val="00DA0FD9"/>
    <w:rsid w:val="00DA1155"/>
    <w:rsid w:val="00DA1171"/>
    <w:rsid w:val="00DA1A2F"/>
    <w:rsid w:val="00DA1F06"/>
    <w:rsid w:val="00DA24D9"/>
    <w:rsid w:val="00DA2A23"/>
    <w:rsid w:val="00DA3E3D"/>
    <w:rsid w:val="00DA44F5"/>
    <w:rsid w:val="00DA5350"/>
    <w:rsid w:val="00DA54CA"/>
    <w:rsid w:val="00DA56CF"/>
    <w:rsid w:val="00DA5F70"/>
    <w:rsid w:val="00DA61CB"/>
    <w:rsid w:val="00DA6345"/>
    <w:rsid w:val="00DA74ED"/>
    <w:rsid w:val="00DA7F96"/>
    <w:rsid w:val="00DB05B5"/>
    <w:rsid w:val="00DB156F"/>
    <w:rsid w:val="00DB19D5"/>
    <w:rsid w:val="00DB280E"/>
    <w:rsid w:val="00DB2EA4"/>
    <w:rsid w:val="00DB39EB"/>
    <w:rsid w:val="00DB3B38"/>
    <w:rsid w:val="00DB4305"/>
    <w:rsid w:val="00DB439A"/>
    <w:rsid w:val="00DB4808"/>
    <w:rsid w:val="00DB4843"/>
    <w:rsid w:val="00DB4EE1"/>
    <w:rsid w:val="00DB51DB"/>
    <w:rsid w:val="00DB524F"/>
    <w:rsid w:val="00DB56E8"/>
    <w:rsid w:val="00DB57B0"/>
    <w:rsid w:val="00DB796E"/>
    <w:rsid w:val="00DB7A77"/>
    <w:rsid w:val="00DB7B23"/>
    <w:rsid w:val="00DB7B90"/>
    <w:rsid w:val="00DB7BC6"/>
    <w:rsid w:val="00DB7D45"/>
    <w:rsid w:val="00DB7F28"/>
    <w:rsid w:val="00DC0E7C"/>
    <w:rsid w:val="00DC186D"/>
    <w:rsid w:val="00DC227E"/>
    <w:rsid w:val="00DC24D8"/>
    <w:rsid w:val="00DC258D"/>
    <w:rsid w:val="00DC25B8"/>
    <w:rsid w:val="00DC2C77"/>
    <w:rsid w:val="00DC37A9"/>
    <w:rsid w:val="00DC465A"/>
    <w:rsid w:val="00DC526D"/>
    <w:rsid w:val="00DC6614"/>
    <w:rsid w:val="00DC693F"/>
    <w:rsid w:val="00DC6E51"/>
    <w:rsid w:val="00DC6F30"/>
    <w:rsid w:val="00DC748E"/>
    <w:rsid w:val="00DC74DC"/>
    <w:rsid w:val="00DC78C2"/>
    <w:rsid w:val="00DC7945"/>
    <w:rsid w:val="00DC7A48"/>
    <w:rsid w:val="00DD008D"/>
    <w:rsid w:val="00DD0E61"/>
    <w:rsid w:val="00DD24BA"/>
    <w:rsid w:val="00DD24E7"/>
    <w:rsid w:val="00DD376C"/>
    <w:rsid w:val="00DD3AF9"/>
    <w:rsid w:val="00DD3CE1"/>
    <w:rsid w:val="00DD3D45"/>
    <w:rsid w:val="00DD3D90"/>
    <w:rsid w:val="00DD4761"/>
    <w:rsid w:val="00DD4936"/>
    <w:rsid w:val="00DE1173"/>
    <w:rsid w:val="00DE1720"/>
    <w:rsid w:val="00DE1E1A"/>
    <w:rsid w:val="00DE3C4D"/>
    <w:rsid w:val="00DE4DA0"/>
    <w:rsid w:val="00DE5606"/>
    <w:rsid w:val="00DE636C"/>
    <w:rsid w:val="00DE6B64"/>
    <w:rsid w:val="00DE78B3"/>
    <w:rsid w:val="00DE7AD6"/>
    <w:rsid w:val="00DE7C13"/>
    <w:rsid w:val="00DE7DCF"/>
    <w:rsid w:val="00DF066A"/>
    <w:rsid w:val="00DF15B7"/>
    <w:rsid w:val="00DF1D55"/>
    <w:rsid w:val="00DF261C"/>
    <w:rsid w:val="00DF29C8"/>
    <w:rsid w:val="00DF3187"/>
    <w:rsid w:val="00DF3317"/>
    <w:rsid w:val="00DF3FBA"/>
    <w:rsid w:val="00DF40D9"/>
    <w:rsid w:val="00DF47C9"/>
    <w:rsid w:val="00DF4854"/>
    <w:rsid w:val="00DF5D8C"/>
    <w:rsid w:val="00DF6E25"/>
    <w:rsid w:val="00DF71F4"/>
    <w:rsid w:val="00DF7DF5"/>
    <w:rsid w:val="00DF7F63"/>
    <w:rsid w:val="00E0119A"/>
    <w:rsid w:val="00E013C5"/>
    <w:rsid w:val="00E01925"/>
    <w:rsid w:val="00E021E9"/>
    <w:rsid w:val="00E02A60"/>
    <w:rsid w:val="00E04234"/>
    <w:rsid w:val="00E05F17"/>
    <w:rsid w:val="00E061B5"/>
    <w:rsid w:val="00E0642D"/>
    <w:rsid w:val="00E0731A"/>
    <w:rsid w:val="00E11243"/>
    <w:rsid w:val="00E114A7"/>
    <w:rsid w:val="00E114AE"/>
    <w:rsid w:val="00E11587"/>
    <w:rsid w:val="00E11C3D"/>
    <w:rsid w:val="00E12670"/>
    <w:rsid w:val="00E127E0"/>
    <w:rsid w:val="00E128BE"/>
    <w:rsid w:val="00E12AB5"/>
    <w:rsid w:val="00E12C4F"/>
    <w:rsid w:val="00E1365E"/>
    <w:rsid w:val="00E13A99"/>
    <w:rsid w:val="00E14209"/>
    <w:rsid w:val="00E147C7"/>
    <w:rsid w:val="00E1495E"/>
    <w:rsid w:val="00E14D76"/>
    <w:rsid w:val="00E14F1D"/>
    <w:rsid w:val="00E15985"/>
    <w:rsid w:val="00E20568"/>
    <w:rsid w:val="00E20C5E"/>
    <w:rsid w:val="00E20CE7"/>
    <w:rsid w:val="00E21BF9"/>
    <w:rsid w:val="00E221AE"/>
    <w:rsid w:val="00E226AC"/>
    <w:rsid w:val="00E23280"/>
    <w:rsid w:val="00E236BE"/>
    <w:rsid w:val="00E23DD1"/>
    <w:rsid w:val="00E24242"/>
    <w:rsid w:val="00E24A76"/>
    <w:rsid w:val="00E26228"/>
    <w:rsid w:val="00E2629B"/>
    <w:rsid w:val="00E2770E"/>
    <w:rsid w:val="00E27EDB"/>
    <w:rsid w:val="00E310D7"/>
    <w:rsid w:val="00E31713"/>
    <w:rsid w:val="00E31E68"/>
    <w:rsid w:val="00E323FF"/>
    <w:rsid w:val="00E332F3"/>
    <w:rsid w:val="00E33D30"/>
    <w:rsid w:val="00E3431E"/>
    <w:rsid w:val="00E34C73"/>
    <w:rsid w:val="00E34FE2"/>
    <w:rsid w:val="00E3546C"/>
    <w:rsid w:val="00E35472"/>
    <w:rsid w:val="00E359A1"/>
    <w:rsid w:val="00E35CDE"/>
    <w:rsid w:val="00E367AC"/>
    <w:rsid w:val="00E3705E"/>
    <w:rsid w:val="00E37ADC"/>
    <w:rsid w:val="00E37BD5"/>
    <w:rsid w:val="00E400E3"/>
    <w:rsid w:val="00E4026C"/>
    <w:rsid w:val="00E40DD7"/>
    <w:rsid w:val="00E41FFC"/>
    <w:rsid w:val="00E42C05"/>
    <w:rsid w:val="00E434A9"/>
    <w:rsid w:val="00E4379B"/>
    <w:rsid w:val="00E43C6A"/>
    <w:rsid w:val="00E43D15"/>
    <w:rsid w:val="00E44636"/>
    <w:rsid w:val="00E4488A"/>
    <w:rsid w:val="00E44C8B"/>
    <w:rsid w:val="00E45977"/>
    <w:rsid w:val="00E45F3D"/>
    <w:rsid w:val="00E4612D"/>
    <w:rsid w:val="00E46266"/>
    <w:rsid w:val="00E46A46"/>
    <w:rsid w:val="00E46E4A"/>
    <w:rsid w:val="00E47286"/>
    <w:rsid w:val="00E508C5"/>
    <w:rsid w:val="00E50C92"/>
    <w:rsid w:val="00E5114F"/>
    <w:rsid w:val="00E5140C"/>
    <w:rsid w:val="00E516F8"/>
    <w:rsid w:val="00E5189C"/>
    <w:rsid w:val="00E51E9D"/>
    <w:rsid w:val="00E520D7"/>
    <w:rsid w:val="00E527E4"/>
    <w:rsid w:val="00E529EC"/>
    <w:rsid w:val="00E52B47"/>
    <w:rsid w:val="00E53E36"/>
    <w:rsid w:val="00E54349"/>
    <w:rsid w:val="00E5468A"/>
    <w:rsid w:val="00E54E7D"/>
    <w:rsid w:val="00E54F06"/>
    <w:rsid w:val="00E559DE"/>
    <w:rsid w:val="00E55B8F"/>
    <w:rsid w:val="00E568F4"/>
    <w:rsid w:val="00E5694F"/>
    <w:rsid w:val="00E602A1"/>
    <w:rsid w:val="00E62BF1"/>
    <w:rsid w:val="00E64683"/>
    <w:rsid w:val="00E646C9"/>
    <w:rsid w:val="00E64B1A"/>
    <w:rsid w:val="00E64E11"/>
    <w:rsid w:val="00E65326"/>
    <w:rsid w:val="00E654DD"/>
    <w:rsid w:val="00E656CC"/>
    <w:rsid w:val="00E65EDC"/>
    <w:rsid w:val="00E66C28"/>
    <w:rsid w:val="00E6708D"/>
    <w:rsid w:val="00E67DE2"/>
    <w:rsid w:val="00E70569"/>
    <w:rsid w:val="00E716EF"/>
    <w:rsid w:val="00E7177E"/>
    <w:rsid w:val="00E71F05"/>
    <w:rsid w:val="00E724F1"/>
    <w:rsid w:val="00E72C44"/>
    <w:rsid w:val="00E72D7D"/>
    <w:rsid w:val="00E72FA2"/>
    <w:rsid w:val="00E7301A"/>
    <w:rsid w:val="00E73412"/>
    <w:rsid w:val="00E7410C"/>
    <w:rsid w:val="00E75875"/>
    <w:rsid w:val="00E75C88"/>
    <w:rsid w:val="00E76565"/>
    <w:rsid w:val="00E76AB3"/>
    <w:rsid w:val="00E77A96"/>
    <w:rsid w:val="00E81163"/>
    <w:rsid w:val="00E81EFC"/>
    <w:rsid w:val="00E82BEA"/>
    <w:rsid w:val="00E82C40"/>
    <w:rsid w:val="00E835C0"/>
    <w:rsid w:val="00E83C06"/>
    <w:rsid w:val="00E83C2D"/>
    <w:rsid w:val="00E843D0"/>
    <w:rsid w:val="00E844CD"/>
    <w:rsid w:val="00E84C2C"/>
    <w:rsid w:val="00E85439"/>
    <w:rsid w:val="00E854B5"/>
    <w:rsid w:val="00E85580"/>
    <w:rsid w:val="00E85783"/>
    <w:rsid w:val="00E85BBA"/>
    <w:rsid w:val="00E86D8F"/>
    <w:rsid w:val="00E87285"/>
    <w:rsid w:val="00E878A8"/>
    <w:rsid w:val="00E87942"/>
    <w:rsid w:val="00E9059E"/>
    <w:rsid w:val="00E906CC"/>
    <w:rsid w:val="00E90CD0"/>
    <w:rsid w:val="00E914AA"/>
    <w:rsid w:val="00E91601"/>
    <w:rsid w:val="00E91F5C"/>
    <w:rsid w:val="00E92932"/>
    <w:rsid w:val="00E929B6"/>
    <w:rsid w:val="00E92BF9"/>
    <w:rsid w:val="00E93636"/>
    <w:rsid w:val="00E93824"/>
    <w:rsid w:val="00E93A9F"/>
    <w:rsid w:val="00E94473"/>
    <w:rsid w:val="00E94B9A"/>
    <w:rsid w:val="00E95098"/>
    <w:rsid w:val="00E97E1F"/>
    <w:rsid w:val="00EA0939"/>
    <w:rsid w:val="00EA0AFE"/>
    <w:rsid w:val="00EA0CC7"/>
    <w:rsid w:val="00EA0F4C"/>
    <w:rsid w:val="00EA1DBA"/>
    <w:rsid w:val="00EA1E8B"/>
    <w:rsid w:val="00EA20AB"/>
    <w:rsid w:val="00EA23EB"/>
    <w:rsid w:val="00EA2D85"/>
    <w:rsid w:val="00EA30A6"/>
    <w:rsid w:val="00EA3444"/>
    <w:rsid w:val="00EA422D"/>
    <w:rsid w:val="00EA4CD1"/>
    <w:rsid w:val="00EA4FD1"/>
    <w:rsid w:val="00EA5CA7"/>
    <w:rsid w:val="00EA7077"/>
    <w:rsid w:val="00EA75A9"/>
    <w:rsid w:val="00EA780E"/>
    <w:rsid w:val="00EA7A5E"/>
    <w:rsid w:val="00EB0173"/>
    <w:rsid w:val="00EB0CC4"/>
    <w:rsid w:val="00EB0EDD"/>
    <w:rsid w:val="00EB10E7"/>
    <w:rsid w:val="00EB136A"/>
    <w:rsid w:val="00EB1431"/>
    <w:rsid w:val="00EB14BA"/>
    <w:rsid w:val="00EB164A"/>
    <w:rsid w:val="00EB19A7"/>
    <w:rsid w:val="00EB201D"/>
    <w:rsid w:val="00EB206F"/>
    <w:rsid w:val="00EB2768"/>
    <w:rsid w:val="00EB287F"/>
    <w:rsid w:val="00EB2A95"/>
    <w:rsid w:val="00EB5464"/>
    <w:rsid w:val="00EB550A"/>
    <w:rsid w:val="00EB5A5B"/>
    <w:rsid w:val="00EB5F41"/>
    <w:rsid w:val="00EB611E"/>
    <w:rsid w:val="00EB63AC"/>
    <w:rsid w:val="00EB655C"/>
    <w:rsid w:val="00EB67B2"/>
    <w:rsid w:val="00EB6E10"/>
    <w:rsid w:val="00EB6ED8"/>
    <w:rsid w:val="00EB7124"/>
    <w:rsid w:val="00EB72D4"/>
    <w:rsid w:val="00EB7429"/>
    <w:rsid w:val="00EB79B8"/>
    <w:rsid w:val="00EB7AE0"/>
    <w:rsid w:val="00EB7E81"/>
    <w:rsid w:val="00EC0900"/>
    <w:rsid w:val="00EC0957"/>
    <w:rsid w:val="00EC0AD5"/>
    <w:rsid w:val="00EC1F88"/>
    <w:rsid w:val="00EC2403"/>
    <w:rsid w:val="00EC2467"/>
    <w:rsid w:val="00EC2CE6"/>
    <w:rsid w:val="00EC35B9"/>
    <w:rsid w:val="00EC3DA8"/>
    <w:rsid w:val="00EC5666"/>
    <w:rsid w:val="00EC615D"/>
    <w:rsid w:val="00EC6303"/>
    <w:rsid w:val="00EC68F9"/>
    <w:rsid w:val="00EC731C"/>
    <w:rsid w:val="00EC7330"/>
    <w:rsid w:val="00EC788C"/>
    <w:rsid w:val="00EC7957"/>
    <w:rsid w:val="00ED02F7"/>
    <w:rsid w:val="00ED0E6F"/>
    <w:rsid w:val="00ED0FAC"/>
    <w:rsid w:val="00ED21C5"/>
    <w:rsid w:val="00ED290C"/>
    <w:rsid w:val="00ED2A0C"/>
    <w:rsid w:val="00ED3685"/>
    <w:rsid w:val="00ED37C1"/>
    <w:rsid w:val="00ED3CA4"/>
    <w:rsid w:val="00ED46DA"/>
    <w:rsid w:val="00ED4D05"/>
    <w:rsid w:val="00ED5565"/>
    <w:rsid w:val="00ED6FE3"/>
    <w:rsid w:val="00ED76E9"/>
    <w:rsid w:val="00ED7716"/>
    <w:rsid w:val="00ED77BB"/>
    <w:rsid w:val="00ED7EA0"/>
    <w:rsid w:val="00ED7FAB"/>
    <w:rsid w:val="00EE085F"/>
    <w:rsid w:val="00EE0EAD"/>
    <w:rsid w:val="00EE10D6"/>
    <w:rsid w:val="00EE1704"/>
    <w:rsid w:val="00EE201B"/>
    <w:rsid w:val="00EE25F4"/>
    <w:rsid w:val="00EE2603"/>
    <w:rsid w:val="00EE2A78"/>
    <w:rsid w:val="00EE2CB3"/>
    <w:rsid w:val="00EE3602"/>
    <w:rsid w:val="00EE3650"/>
    <w:rsid w:val="00EE4B08"/>
    <w:rsid w:val="00EE554D"/>
    <w:rsid w:val="00EE5D38"/>
    <w:rsid w:val="00EE6E8D"/>
    <w:rsid w:val="00EE7740"/>
    <w:rsid w:val="00EE7C9C"/>
    <w:rsid w:val="00EF02B3"/>
    <w:rsid w:val="00EF03C5"/>
    <w:rsid w:val="00EF05E9"/>
    <w:rsid w:val="00EF0A2F"/>
    <w:rsid w:val="00EF1D9B"/>
    <w:rsid w:val="00EF1DFF"/>
    <w:rsid w:val="00EF2127"/>
    <w:rsid w:val="00EF2364"/>
    <w:rsid w:val="00EF283E"/>
    <w:rsid w:val="00EF323D"/>
    <w:rsid w:val="00EF440C"/>
    <w:rsid w:val="00EF49D6"/>
    <w:rsid w:val="00EF665C"/>
    <w:rsid w:val="00EF680C"/>
    <w:rsid w:val="00EF6CD5"/>
    <w:rsid w:val="00EF6D30"/>
    <w:rsid w:val="00EF6EEB"/>
    <w:rsid w:val="00EF73D6"/>
    <w:rsid w:val="00F004F1"/>
    <w:rsid w:val="00F00E40"/>
    <w:rsid w:val="00F0121D"/>
    <w:rsid w:val="00F02006"/>
    <w:rsid w:val="00F02FF7"/>
    <w:rsid w:val="00F036D3"/>
    <w:rsid w:val="00F03F63"/>
    <w:rsid w:val="00F058BC"/>
    <w:rsid w:val="00F05E9D"/>
    <w:rsid w:val="00F05EA4"/>
    <w:rsid w:val="00F06050"/>
    <w:rsid w:val="00F0626A"/>
    <w:rsid w:val="00F062C2"/>
    <w:rsid w:val="00F062E3"/>
    <w:rsid w:val="00F07539"/>
    <w:rsid w:val="00F07F29"/>
    <w:rsid w:val="00F107C6"/>
    <w:rsid w:val="00F10B76"/>
    <w:rsid w:val="00F1110C"/>
    <w:rsid w:val="00F111CD"/>
    <w:rsid w:val="00F117F8"/>
    <w:rsid w:val="00F11F55"/>
    <w:rsid w:val="00F121E6"/>
    <w:rsid w:val="00F12FBA"/>
    <w:rsid w:val="00F13FAA"/>
    <w:rsid w:val="00F143F1"/>
    <w:rsid w:val="00F14DCB"/>
    <w:rsid w:val="00F15FD6"/>
    <w:rsid w:val="00F16231"/>
    <w:rsid w:val="00F16614"/>
    <w:rsid w:val="00F16AAE"/>
    <w:rsid w:val="00F175CE"/>
    <w:rsid w:val="00F17E7E"/>
    <w:rsid w:val="00F20306"/>
    <w:rsid w:val="00F21621"/>
    <w:rsid w:val="00F21D0E"/>
    <w:rsid w:val="00F21FEC"/>
    <w:rsid w:val="00F22645"/>
    <w:rsid w:val="00F23058"/>
    <w:rsid w:val="00F23D18"/>
    <w:rsid w:val="00F249A0"/>
    <w:rsid w:val="00F25D51"/>
    <w:rsid w:val="00F261D4"/>
    <w:rsid w:val="00F2622D"/>
    <w:rsid w:val="00F26EE9"/>
    <w:rsid w:val="00F27388"/>
    <w:rsid w:val="00F27727"/>
    <w:rsid w:val="00F2784C"/>
    <w:rsid w:val="00F302A4"/>
    <w:rsid w:val="00F30F8C"/>
    <w:rsid w:val="00F3190D"/>
    <w:rsid w:val="00F31EE5"/>
    <w:rsid w:val="00F324E2"/>
    <w:rsid w:val="00F33D93"/>
    <w:rsid w:val="00F33E89"/>
    <w:rsid w:val="00F33E8D"/>
    <w:rsid w:val="00F33F6A"/>
    <w:rsid w:val="00F354FB"/>
    <w:rsid w:val="00F3573E"/>
    <w:rsid w:val="00F364A0"/>
    <w:rsid w:val="00F365D3"/>
    <w:rsid w:val="00F3667D"/>
    <w:rsid w:val="00F3696C"/>
    <w:rsid w:val="00F36D1A"/>
    <w:rsid w:val="00F36EA7"/>
    <w:rsid w:val="00F37860"/>
    <w:rsid w:val="00F401FF"/>
    <w:rsid w:val="00F40536"/>
    <w:rsid w:val="00F40F29"/>
    <w:rsid w:val="00F41622"/>
    <w:rsid w:val="00F4165B"/>
    <w:rsid w:val="00F41C8D"/>
    <w:rsid w:val="00F4298B"/>
    <w:rsid w:val="00F42C74"/>
    <w:rsid w:val="00F42C83"/>
    <w:rsid w:val="00F43562"/>
    <w:rsid w:val="00F43F1C"/>
    <w:rsid w:val="00F43F5F"/>
    <w:rsid w:val="00F4656F"/>
    <w:rsid w:val="00F46C2A"/>
    <w:rsid w:val="00F471B2"/>
    <w:rsid w:val="00F50239"/>
    <w:rsid w:val="00F503AD"/>
    <w:rsid w:val="00F516C1"/>
    <w:rsid w:val="00F519FD"/>
    <w:rsid w:val="00F51A76"/>
    <w:rsid w:val="00F51BD7"/>
    <w:rsid w:val="00F524EB"/>
    <w:rsid w:val="00F5319F"/>
    <w:rsid w:val="00F532DE"/>
    <w:rsid w:val="00F53B1F"/>
    <w:rsid w:val="00F54BEB"/>
    <w:rsid w:val="00F558D3"/>
    <w:rsid w:val="00F55C6D"/>
    <w:rsid w:val="00F561C2"/>
    <w:rsid w:val="00F562C1"/>
    <w:rsid w:val="00F56551"/>
    <w:rsid w:val="00F56A42"/>
    <w:rsid w:val="00F56C01"/>
    <w:rsid w:val="00F57AF9"/>
    <w:rsid w:val="00F604F4"/>
    <w:rsid w:val="00F60789"/>
    <w:rsid w:val="00F607C1"/>
    <w:rsid w:val="00F60C00"/>
    <w:rsid w:val="00F60C0F"/>
    <w:rsid w:val="00F616C3"/>
    <w:rsid w:val="00F619C0"/>
    <w:rsid w:val="00F61D19"/>
    <w:rsid w:val="00F61D1B"/>
    <w:rsid w:val="00F62363"/>
    <w:rsid w:val="00F624BF"/>
    <w:rsid w:val="00F64686"/>
    <w:rsid w:val="00F64C1E"/>
    <w:rsid w:val="00F667BB"/>
    <w:rsid w:val="00F670F3"/>
    <w:rsid w:val="00F67FC1"/>
    <w:rsid w:val="00F707AC"/>
    <w:rsid w:val="00F70C05"/>
    <w:rsid w:val="00F70CFF"/>
    <w:rsid w:val="00F70D32"/>
    <w:rsid w:val="00F70EED"/>
    <w:rsid w:val="00F715BC"/>
    <w:rsid w:val="00F71A28"/>
    <w:rsid w:val="00F71D15"/>
    <w:rsid w:val="00F71D59"/>
    <w:rsid w:val="00F7264E"/>
    <w:rsid w:val="00F7266A"/>
    <w:rsid w:val="00F73217"/>
    <w:rsid w:val="00F733FD"/>
    <w:rsid w:val="00F73409"/>
    <w:rsid w:val="00F73FAD"/>
    <w:rsid w:val="00F746A8"/>
    <w:rsid w:val="00F749F5"/>
    <w:rsid w:val="00F74B94"/>
    <w:rsid w:val="00F75048"/>
    <w:rsid w:val="00F75898"/>
    <w:rsid w:val="00F77525"/>
    <w:rsid w:val="00F801B3"/>
    <w:rsid w:val="00F806E8"/>
    <w:rsid w:val="00F81682"/>
    <w:rsid w:val="00F823D1"/>
    <w:rsid w:val="00F8269F"/>
    <w:rsid w:val="00F8273A"/>
    <w:rsid w:val="00F827A8"/>
    <w:rsid w:val="00F83906"/>
    <w:rsid w:val="00F8412A"/>
    <w:rsid w:val="00F8477C"/>
    <w:rsid w:val="00F84E9B"/>
    <w:rsid w:val="00F85E6A"/>
    <w:rsid w:val="00F85EFF"/>
    <w:rsid w:val="00F86553"/>
    <w:rsid w:val="00F8763A"/>
    <w:rsid w:val="00F876DE"/>
    <w:rsid w:val="00F8797E"/>
    <w:rsid w:val="00F901DA"/>
    <w:rsid w:val="00F906D1"/>
    <w:rsid w:val="00F90B00"/>
    <w:rsid w:val="00F912FE"/>
    <w:rsid w:val="00F91369"/>
    <w:rsid w:val="00F917E0"/>
    <w:rsid w:val="00F92A04"/>
    <w:rsid w:val="00F92C9B"/>
    <w:rsid w:val="00F92F6F"/>
    <w:rsid w:val="00F933EB"/>
    <w:rsid w:val="00F9394F"/>
    <w:rsid w:val="00F93CA8"/>
    <w:rsid w:val="00F9733C"/>
    <w:rsid w:val="00F97602"/>
    <w:rsid w:val="00FA1516"/>
    <w:rsid w:val="00FA2605"/>
    <w:rsid w:val="00FA2BF8"/>
    <w:rsid w:val="00FA368E"/>
    <w:rsid w:val="00FA4524"/>
    <w:rsid w:val="00FA4E8B"/>
    <w:rsid w:val="00FA5850"/>
    <w:rsid w:val="00FA5F43"/>
    <w:rsid w:val="00FA5F66"/>
    <w:rsid w:val="00FA65DF"/>
    <w:rsid w:val="00FA664B"/>
    <w:rsid w:val="00FA68E7"/>
    <w:rsid w:val="00FA70C7"/>
    <w:rsid w:val="00FA7A13"/>
    <w:rsid w:val="00FA7C89"/>
    <w:rsid w:val="00FB07AE"/>
    <w:rsid w:val="00FB0F1B"/>
    <w:rsid w:val="00FB138E"/>
    <w:rsid w:val="00FB15F8"/>
    <w:rsid w:val="00FB1F1E"/>
    <w:rsid w:val="00FB2256"/>
    <w:rsid w:val="00FB22A5"/>
    <w:rsid w:val="00FB353C"/>
    <w:rsid w:val="00FB3B83"/>
    <w:rsid w:val="00FB62CF"/>
    <w:rsid w:val="00FB6791"/>
    <w:rsid w:val="00FB6DC0"/>
    <w:rsid w:val="00FB7943"/>
    <w:rsid w:val="00FC0A1A"/>
    <w:rsid w:val="00FC0E7B"/>
    <w:rsid w:val="00FC12AD"/>
    <w:rsid w:val="00FC156A"/>
    <w:rsid w:val="00FC1723"/>
    <w:rsid w:val="00FC19FA"/>
    <w:rsid w:val="00FC3DE3"/>
    <w:rsid w:val="00FC4476"/>
    <w:rsid w:val="00FC45ED"/>
    <w:rsid w:val="00FC542E"/>
    <w:rsid w:val="00FC5AEF"/>
    <w:rsid w:val="00FC6446"/>
    <w:rsid w:val="00FC6679"/>
    <w:rsid w:val="00FC6AF8"/>
    <w:rsid w:val="00FC7558"/>
    <w:rsid w:val="00FD0A4E"/>
    <w:rsid w:val="00FD168F"/>
    <w:rsid w:val="00FD18EC"/>
    <w:rsid w:val="00FD2604"/>
    <w:rsid w:val="00FD29F5"/>
    <w:rsid w:val="00FD2A13"/>
    <w:rsid w:val="00FD37AE"/>
    <w:rsid w:val="00FD40BE"/>
    <w:rsid w:val="00FD432E"/>
    <w:rsid w:val="00FD4885"/>
    <w:rsid w:val="00FD4D8F"/>
    <w:rsid w:val="00FD504F"/>
    <w:rsid w:val="00FD541D"/>
    <w:rsid w:val="00FD5A34"/>
    <w:rsid w:val="00FD6562"/>
    <w:rsid w:val="00FD7816"/>
    <w:rsid w:val="00FE1357"/>
    <w:rsid w:val="00FE196C"/>
    <w:rsid w:val="00FE1C49"/>
    <w:rsid w:val="00FE24F2"/>
    <w:rsid w:val="00FE2FAE"/>
    <w:rsid w:val="00FE336D"/>
    <w:rsid w:val="00FE3BF0"/>
    <w:rsid w:val="00FE45C6"/>
    <w:rsid w:val="00FE481D"/>
    <w:rsid w:val="00FE48A2"/>
    <w:rsid w:val="00FE4ABE"/>
    <w:rsid w:val="00FE4E5A"/>
    <w:rsid w:val="00FE6D6A"/>
    <w:rsid w:val="00FE70D6"/>
    <w:rsid w:val="00FE7104"/>
    <w:rsid w:val="00FE7D84"/>
    <w:rsid w:val="00FF0734"/>
    <w:rsid w:val="00FF0781"/>
    <w:rsid w:val="00FF087A"/>
    <w:rsid w:val="00FF0F4C"/>
    <w:rsid w:val="00FF10BF"/>
    <w:rsid w:val="00FF1EDB"/>
    <w:rsid w:val="00FF301A"/>
    <w:rsid w:val="00FF37F6"/>
    <w:rsid w:val="00FF39C6"/>
    <w:rsid w:val="00FF3AB5"/>
    <w:rsid w:val="00FF3F20"/>
    <w:rsid w:val="00FF4E96"/>
    <w:rsid w:val="00FF5424"/>
    <w:rsid w:val="00FF5426"/>
    <w:rsid w:val="00FF5752"/>
    <w:rsid w:val="00FF5F91"/>
    <w:rsid w:val="00FF6DEA"/>
    <w:rsid w:val="00FF704B"/>
    <w:rsid w:val="00FF717F"/>
    <w:rsid w:val="00FF72E7"/>
    <w:rsid w:val="00FF7B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A6FDD078-AA16-41F2-AA13-50004B72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21A6E"/>
    <w:rPr>
      <w:rFonts w:ascii="Times New Roman" w:hAnsi="Times New Roman"/>
      <w:sz w:val="22"/>
      <w:lang w:val="en-GB" w:eastAsia="en-US"/>
    </w:rPr>
  </w:style>
  <w:style w:type="paragraph" w:styleId="Antrat1">
    <w:name w:val="heading 1"/>
    <w:aliases w:val="h1"/>
    <w:basedOn w:val="Antrat2"/>
    <w:next w:val="Pagrindinistekstas"/>
    <w:link w:val="Antrat1Diagrama"/>
    <w:uiPriority w:val="99"/>
    <w:qFormat/>
    <w:rsid w:val="00ED7FAB"/>
    <w:pPr>
      <w:spacing w:line="360" w:lineRule="exact"/>
      <w:outlineLvl w:val="0"/>
    </w:pPr>
    <w:rPr>
      <w:sz w:val="32"/>
    </w:rPr>
  </w:style>
  <w:style w:type="paragraph" w:styleId="Antrat2">
    <w:name w:val="heading 2"/>
    <w:aliases w:val="h2"/>
    <w:basedOn w:val="Pagrindinistekstas"/>
    <w:next w:val="Pagrindinistekstas"/>
    <w:link w:val="Antrat2Diagrama"/>
    <w:uiPriority w:val="99"/>
    <w:qFormat/>
    <w:rsid w:val="00ED7FAB"/>
    <w:pPr>
      <w:keepNext/>
      <w:spacing w:before="400" w:after="0" w:line="320" w:lineRule="exact"/>
      <w:jc w:val="left"/>
      <w:outlineLvl w:val="1"/>
    </w:pPr>
    <w:rPr>
      <w:b/>
      <w:sz w:val="28"/>
    </w:rPr>
  </w:style>
  <w:style w:type="paragraph" w:styleId="Antrat3">
    <w:name w:val="heading 3"/>
    <w:aliases w:val="Antraštė 31,Char Char Char"/>
    <w:basedOn w:val="Antrat4"/>
    <w:next w:val="Pagrindinistekstas"/>
    <w:link w:val="Antrat3Diagrama"/>
    <w:uiPriority w:val="99"/>
    <w:qFormat/>
    <w:rsid w:val="005E09AE"/>
    <w:pPr>
      <w:tabs>
        <w:tab w:val="clear" w:pos="0"/>
      </w:tabs>
      <w:outlineLvl w:val="2"/>
    </w:pPr>
    <w:rPr>
      <w:b w:val="0"/>
      <w:i w:val="0"/>
      <w:sz w:val="20"/>
    </w:rPr>
  </w:style>
  <w:style w:type="paragraph" w:styleId="Antrat4">
    <w:name w:val="heading 4"/>
    <w:basedOn w:val="Antrat5"/>
    <w:next w:val="Pagrindinistekstas"/>
    <w:link w:val="Antrat4Diagrama"/>
    <w:uiPriority w:val="99"/>
    <w:qFormat/>
    <w:rsid w:val="00ED7FAB"/>
    <w:pPr>
      <w:tabs>
        <w:tab w:val="left" w:pos="0"/>
      </w:tabs>
      <w:spacing w:line="280" w:lineRule="exact"/>
      <w:outlineLvl w:val="3"/>
    </w:pPr>
    <w:rPr>
      <w:b/>
      <w:sz w:val="24"/>
    </w:rPr>
  </w:style>
  <w:style w:type="paragraph" w:styleId="Antrat5">
    <w:name w:val="heading 5"/>
    <w:basedOn w:val="Pagrindinistekstas"/>
    <w:next w:val="Pagrindinistekstas"/>
    <w:link w:val="Antrat5Diagrama"/>
    <w:uiPriority w:val="99"/>
    <w:qFormat/>
    <w:rsid w:val="00ED7FAB"/>
    <w:pPr>
      <w:keepNext/>
      <w:spacing w:before="400" w:after="0" w:line="260" w:lineRule="exact"/>
      <w:jc w:val="left"/>
      <w:outlineLvl w:val="4"/>
    </w:pPr>
    <w:rPr>
      <w:i/>
    </w:rPr>
  </w:style>
  <w:style w:type="paragraph" w:styleId="Antrat6">
    <w:name w:val="heading 6"/>
    <w:basedOn w:val="prastasis"/>
    <w:next w:val="prastasis"/>
    <w:link w:val="Antrat6Diagrama"/>
    <w:uiPriority w:val="99"/>
    <w:qFormat/>
    <w:rsid w:val="00ED7FAB"/>
    <w:pPr>
      <w:outlineLvl w:val="5"/>
    </w:pPr>
  </w:style>
  <w:style w:type="paragraph" w:styleId="Antrat7">
    <w:name w:val="heading 7"/>
    <w:basedOn w:val="prastasis"/>
    <w:next w:val="prastasis"/>
    <w:link w:val="Antrat7Diagrama"/>
    <w:uiPriority w:val="99"/>
    <w:qFormat/>
    <w:rsid w:val="00ED7FAB"/>
    <w:pPr>
      <w:outlineLvl w:val="6"/>
    </w:pPr>
  </w:style>
  <w:style w:type="paragraph" w:styleId="Antrat8">
    <w:name w:val="heading 8"/>
    <w:basedOn w:val="prastasis"/>
    <w:next w:val="prastasis"/>
    <w:link w:val="Antrat8Diagrama"/>
    <w:uiPriority w:val="99"/>
    <w:qFormat/>
    <w:rsid w:val="00ED7FAB"/>
    <w:pPr>
      <w:outlineLvl w:val="7"/>
    </w:pPr>
  </w:style>
  <w:style w:type="paragraph" w:styleId="Antrat9">
    <w:name w:val="heading 9"/>
    <w:basedOn w:val="prastasis"/>
    <w:next w:val="prastasis"/>
    <w:link w:val="Antrat9Diagrama"/>
    <w:uiPriority w:val="99"/>
    <w:qFormat/>
    <w:rsid w:val="00ED7FAB"/>
    <w:pPr>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h1 Diagrama"/>
    <w:link w:val="Antrat1"/>
    <w:uiPriority w:val="99"/>
    <w:locked/>
    <w:rsid w:val="002C6EC8"/>
    <w:rPr>
      <w:rFonts w:ascii="Times New Roman" w:hAnsi="Times New Roman" w:cs="Times New Roman"/>
      <w:b/>
      <w:sz w:val="32"/>
    </w:rPr>
  </w:style>
  <w:style w:type="character" w:customStyle="1" w:styleId="Antrat2Diagrama">
    <w:name w:val="Antraštė 2 Diagrama"/>
    <w:aliases w:val="h2 Diagrama"/>
    <w:link w:val="Antrat2"/>
    <w:uiPriority w:val="99"/>
    <w:semiHidden/>
    <w:locked/>
    <w:rsid w:val="00512481"/>
    <w:rPr>
      <w:rFonts w:ascii="Cambria" w:hAnsi="Cambria" w:cs="Times New Roman"/>
      <w:b/>
      <w:bCs/>
      <w:i/>
      <w:iCs/>
      <w:sz w:val="28"/>
      <w:szCs w:val="28"/>
      <w:lang w:val="en-US" w:eastAsia="en-US"/>
    </w:rPr>
  </w:style>
  <w:style w:type="character" w:customStyle="1" w:styleId="Heading3Char">
    <w:name w:val="Heading 3 Char"/>
    <w:aliases w:val="Antraštė 31 Char,Char Char Char Char"/>
    <w:uiPriority w:val="99"/>
    <w:semiHidden/>
    <w:locked/>
    <w:rsid w:val="00512481"/>
    <w:rPr>
      <w:rFonts w:ascii="Cambria" w:hAnsi="Cambria" w:cs="Times New Roman"/>
      <w:b/>
      <w:bCs/>
      <w:sz w:val="26"/>
      <w:szCs w:val="26"/>
      <w:lang w:val="en-US" w:eastAsia="en-US"/>
    </w:rPr>
  </w:style>
  <w:style w:type="character" w:customStyle="1" w:styleId="Antrat4Diagrama">
    <w:name w:val="Antraštė 4 Diagrama"/>
    <w:link w:val="Antrat4"/>
    <w:uiPriority w:val="99"/>
    <w:semiHidden/>
    <w:locked/>
    <w:rsid w:val="00512481"/>
    <w:rPr>
      <w:rFonts w:ascii="Calibri" w:hAnsi="Calibri" w:cs="Times New Roman"/>
      <w:b/>
      <w:bCs/>
      <w:sz w:val="28"/>
      <w:szCs w:val="28"/>
      <w:lang w:val="en-US" w:eastAsia="en-US"/>
    </w:rPr>
  </w:style>
  <w:style w:type="character" w:customStyle="1" w:styleId="Antrat5Diagrama">
    <w:name w:val="Antraštė 5 Diagrama"/>
    <w:link w:val="Antrat5"/>
    <w:uiPriority w:val="99"/>
    <w:semiHidden/>
    <w:locked/>
    <w:rsid w:val="00512481"/>
    <w:rPr>
      <w:rFonts w:ascii="Calibri" w:hAnsi="Calibri" w:cs="Times New Roman"/>
      <w:b/>
      <w:bCs/>
      <w:i/>
      <w:iCs/>
      <w:sz w:val="26"/>
      <w:szCs w:val="26"/>
      <w:lang w:val="en-US" w:eastAsia="en-US"/>
    </w:rPr>
  </w:style>
  <w:style w:type="character" w:customStyle="1" w:styleId="Antrat6Diagrama">
    <w:name w:val="Antraštė 6 Diagrama"/>
    <w:link w:val="Antrat6"/>
    <w:uiPriority w:val="99"/>
    <w:semiHidden/>
    <w:locked/>
    <w:rsid w:val="00512481"/>
    <w:rPr>
      <w:rFonts w:ascii="Calibri" w:hAnsi="Calibri" w:cs="Times New Roman"/>
      <w:b/>
      <w:bCs/>
      <w:lang w:val="en-US" w:eastAsia="en-US"/>
    </w:rPr>
  </w:style>
  <w:style w:type="character" w:customStyle="1" w:styleId="Antrat7Diagrama">
    <w:name w:val="Antraštė 7 Diagrama"/>
    <w:link w:val="Antrat7"/>
    <w:uiPriority w:val="99"/>
    <w:semiHidden/>
    <w:locked/>
    <w:rsid w:val="00512481"/>
    <w:rPr>
      <w:rFonts w:ascii="Calibri" w:hAnsi="Calibri" w:cs="Times New Roman"/>
      <w:sz w:val="24"/>
      <w:szCs w:val="24"/>
      <w:lang w:val="en-US" w:eastAsia="en-US"/>
    </w:rPr>
  </w:style>
  <w:style w:type="character" w:customStyle="1" w:styleId="Antrat8Diagrama">
    <w:name w:val="Antraštė 8 Diagrama"/>
    <w:link w:val="Antrat8"/>
    <w:uiPriority w:val="99"/>
    <w:semiHidden/>
    <w:locked/>
    <w:rsid w:val="00512481"/>
    <w:rPr>
      <w:rFonts w:ascii="Calibri" w:hAnsi="Calibri" w:cs="Times New Roman"/>
      <w:i/>
      <w:iCs/>
      <w:sz w:val="24"/>
      <w:szCs w:val="24"/>
      <w:lang w:val="en-US" w:eastAsia="en-US"/>
    </w:rPr>
  </w:style>
  <w:style w:type="character" w:customStyle="1" w:styleId="Antrat9Diagrama">
    <w:name w:val="Antraštė 9 Diagrama"/>
    <w:link w:val="Antrat9"/>
    <w:uiPriority w:val="99"/>
    <w:semiHidden/>
    <w:locked/>
    <w:rsid w:val="00512481"/>
    <w:rPr>
      <w:rFonts w:ascii="Cambria" w:hAnsi="Cambria" w:cs="Times New Roman"/>
      <w:lang w:val="en-US" w:eastAsia="en-US"/>
    </w:rPr>
  </w:style>
  <w:style w:type="paragraph" w:styleId="Pagrindinistekstas">
    <w:name w:val="Body Text"/>
    <w:aliases w:val="bt,Diagrama,Body Text Char1 Char,Body Text Char Char Char,Body Text Char1 Char Char Char,Body Text Char Char Char Char Char,Body Text Char1 Char Char Char Char Char,Body Text Char Char Char Char Char Char Char,Body tex"/>
    <w:basedOn w:val="prastasis"/>
    <w:link w:val="PagrindinistekstasDiagrama"/>
    <w:uiPriority w:val="99"/>
    <w:rsid w:val="00ED7FAB"/>
    <w:pPr>
      <w:spacing w:before="130" w:after="130"/>
      <w:jc w:val="both"/>
    </w:pPr>
  </w:style>
  <w:style w:type="character" w:customStyle="1" w:styleId="PagrindinistekstasDiagrama">
    <w:name w:val="Pagrindinis tekstas Diagrama"/>
    <w:aliases w:val="bt Diagrama,Diagrama Diagrama,Body Text Char1 Char Diagrama,Body Text Char Char Char Diagrama,Body Text Char1 Char Char Char Diagrama,Body Text Char Char Char Char Char Diagrama,Body tex Diagrama"/>
    <w:link w:val="Pagrindinistekstas"/>
    <w:uiPriority w:val="99"/>
    <w:locked/>
    <w:rsid w:val="004D4CB7"/>
    <w:rPr>
      <w:rFonts w:cs="Times New Roman"/>
      <w:sz w:val="22"/>
      <w:lang w:val="en-US" w:eastAsia="en-US" w:bidi="ar-SA"/>
    </w:rPr>
  </w:style>
  <w:style w:type="paragraph" w:styleId="Turinys4">
    <w:name w:val="toc 4"/>
    <w:basedOn w:val="Turinys3"/>
    <w:uiPriority w:val="99"/>
    <w:semiHidden/>
    <w:rsid w:val="00ED7FAB"/>
  </w:style>
  <w:style w:type="paragraph" w:styleId="Turinys3">
    <w:name w:val="toc 3"/>
    <w:basedOn w:val="Turinys2"/>
    <w:uiPriority w:val="99"/>
    <w:rsid w:val="00ED7FAB"/>
    <w:pPr>
      <w:tabs>
        <w:tab w:val="left" w:pos="1418"/>
      </w:tabs>
      <w:ind w:left="1418" w:hanging="1418"/>
    </w:pPr>
  </w:style>
  <w:style w:type="paragraph" w:styleId="Turinys2">
    <w:name w:val="toc 2"/>
    <w:basedOn w:val="Turinys1"/>
    <w:uiPriority w:val="99"/>
    <w:rsid w:val="00ED7FAB"/>
    <w:pPr>
      <w:spacing w:before="0"/>
    </w:pPr>
    <w:rPr>
      <w:sz w:val="24"/>
    </w:rPr>
  </w:style>
  <w:style w:type="paragraph" w:styleId="Turinys1">
    <w:name w:val="toc 1"/>
    <w:basedOn w:val="prastasis"/>
    <w:uiPriority w:val="99"/>
    <w:rsid w:val="00ED7FAB"/>
    <w:pPr>
      <w:tabs>
        <w:tab w:val="right" w:pos="8505"/>
      </w:tabs>
      <w:spacing w:before="260"/>
      <w:ind w:right="567"/>
    </w:pPr>
    <w:rPr>
      <w:sz w:val="28"/>
    </w:rPr>
  </w:style>
  <w:style w:type="paragraph" w:styleId="Porat">
    <w:name w:val="footer"/>
    <w:basedOn w:val="prastasis"/>
    <w:link w:val="PoratDiagrama"/>
    <w:uiPriority w:val="99"/>
    <w:rsid w:val="00ED7FAB"/>
    <w:pPr>
      <w:tabs>
        <w:tab w:val="right" w:pos="8222"/>
      </w:tabs>
    </w:pPr>
    <w:rPr>
      <w:sz w:val="18"/>
    </w:rPr>
  </w:style>
  <w:style w:type="character" w:customStyle="1" w:styleId="PoratDiagrama">
    <w:name w:val="Poraštė Diagrama"/>
    <w:link w:val="Porat"/>
    <w:uiPriority w:val="99"/>
    <w:locked/>
    <w:rsid w:val="002C116A"/>
    <w:rPr>
      <w:rFonts w:ascii="Times New Roman" w:hAnsi="Times New Roman" w:cs="Times New Roman"/>
      <w:sz w:val="18"/>
    </w:rPr>
  </w:style>
  <w:style w:type="paragraph" w:styleId="Antrats">
    <w:name w:val="header"/>
    <w:basedOn w:val="prastasis"/>
    <w:link w:val="AntratsDiagrama"/>
    <w:uiPriority w:val="99"/>
    <w:rsid w:val="00ED7FAB"/>
    <w:pPr>
      <w:spacing w:line="220" w:lineRule="atLeast"/>
      <w:jc w:val="right"/>
    </w:pPr>
    <w:rPr>
      <w:i/>
      <w:sz w:val="18"/>
      <w:lang w:val="lt-LT" w:eastAsia="lt-LT"/>
    </w:rPr>
  </w:style>
  <w:style w:type="character" w:customStyle="1" w:styleId="AntratsDiagrama">
    <w:name w:val="Antraštės Diagrama"/>
    <w:link w:val="Antrats"/>
    <w:uiPriority w:val="99"/>
    <w:locked/>
    <w:rsid w:val="0063479A"/>
    <w:rPr>
      <w:rFonts w:ascii="Times New Roman" w:hAnsi="Times New Roman" w:cs="Times New Roman"/>
      <w:i/>
      <w:sz w:val="18"/>
    </w:rPr>
  </w:style>
  <w:style w:type="paragraph" w:styleId="Sraassuenkleliais">
    <w:name w:val="List Bullet"/>
    <w:basedOn w:val="Pagrindinistekstas"/>
    <w:uiPriority w:val="99"/>
    <w:rsid w:val="00ED7FAB"/>
    <w:pPr>
      <w:numPr>
        <w:numId w:val="16"/>
      </w:numPr>
    </w:pPr>
  </w:style>
  <w:style w:type="paragraph" w:styleId="Sraassuenkleliais2">
    <w:name w:val="List Bullet 2"/>
    <w:basedOn w:val="Sraassuenkleliais"/>
    <w:uiPriority w:val="99"/>
    <w:rsid w:val="00ED7FAB"/>
    <w:pPr>
      <w:numPr>
        <w:numId w:val="15"/>
      </w:numPr>
    </w:pPr>
  </w:style>
  <w:style w:type="paragraph" w:customStyle="1" w:styleId="zreportname">
    <w:name w:val="zreport name"/>
    <w:basedOn w:val="prastasis"/>
    <w:uiPriority w:val="99"/>
    <w:semiHidden/>
    <w:rsid w:val="00ED7FAB"/>
    <w:pPr>
      <w:keepLines/>
      <w:spacing w:line="440" w:lineRule="exact"/>
      <w:jc w:val="center"/>
    </w:pPr>
    <w:rPr>
      <w:sz w:val="36"/>
    </w:rPr>
  </w:style>
  <w:style w:type="paragraph" w:customStyle="1" w:styleId="zcontents">
    <w:name w:val="zcontents"/>
    <w:basedOn w:val="prastasis"/>
    <w:uiPriority w:val="99"/>
    <w:semiHidden/>
    <w:rsid w:val="00ED7FAB"/>
    <w:pPr>
      <w:spacing w:after="260"/>
    </w:pPr>
    <w:rPr>
      <w:b/>
      <w:sz w:val="32"/>
    </w:rPr>
  </w:style>
  <w:style w:type="paragraph" w:customStyle="1" w:styleId="zcompanyname">
    <w:name w:val="zcompany name"/>
    <w:basedOn w:val="prastasis"/>
    <w:uiPriority w:val="99"/>
    <w:semiHidden/>
    <w:rsid w:val="00ED7FAB"/>
    <w:pPr>
      <w:spacing w:after="400" w:line="440" w:lineRule="exact"/>
      <w:jc w:val="center"/>
    </w:pPr>
    <w:rPr>
      <w:b/>
      <w:noProof/>
      <w:sz w:val="26"/>
    </w:rPr>
  </w:style>
  <w:style w:type="paragraph" w:styleId="Puslapioinaostekstas">
    <w:name w:val="footnote text"/>
    <w:basedOn w:val="prastasis"/>
    <w:link w:val="PuslapioinaostekstasDiagrama"/>
    <w:uiPriority w:val="99"/>
    <w:semiHidden/>
    <w:rsid w:val="00ED7FAB"/>
    <w:rPr>
      <w:sz w:val="18"/>
    </w:rPr>
  </w:style>
  <w:style w:type="character" w:customStyle="1" w:styleId="PuslapioinaostekstasDiagrama">
    <w:name w:val="Puslapio išnašos tekstas Diagrama"/>
    <w:link w:val="Puslapioinaostekstas"/>
    <w:uiPriority w:val="99"/>
    <w:semiHidden/>
    <w:locked/>
    <w:rsid w:val="00512481"/>
    <w:rPr>
      <w:rFonts w:ascii="Times New Roman" w:hAnsi="Times New Roman" w:cs="Times New Roman"/>
      <w:sz w:val="20"/>
      <w:szCs w:val="20"/>
      <w:lang w:val="en-US" w:eastAsia="en-US"/>
    </w:rPr>
  </w:style>
  <w:style w:type="paragraph" w:customStyle="1" w:styleId="zreportsubtitle">
    <w:name w:val="zreport subtitle"/>
    <w:basedOn w:val="zreportname"/>
    <w:uiPriority w:val="99"/>
    <w:semiHidden/>
    <w:rsid w:val="00ED7FAB"/>
    <w:rPr>
      <w:sz w:val="32"/>
    </w:rPr>
  </w:style>
  <w:style w:type="paragraph" w:styleId="Pagrindiniotekstotrauka">
    <w:name w:val="Body Text Indent"/>
    <w:basedOn w:val="Pagrindinistekstas"/>
    <w:link w:val="PagrindiniotekstotraukaDiagrama"/>
    <w:uiPriority w:val="99"/>
    <w:rsid w:val="00ED7FAB"/>
    <w:pPr>
      <w:ind w:left="340"/>
    </w:pPr>
  </w:style>
  <w:style w:type="character" w:customStyle="1" w:styleId="PagrindiniotekstotraukaDiagrama">
    <w:name w:val="Pagrindinio teksto įtrauka Diagrama"/>
    <w:link w:val="Pagrindiniotekstotrauka"/>
    <w:uiPriority w:val="99"/>
    <w:locked/>
    <w:rsid w:val="00CD0941"/>
    <w:rPr>
      <w:rFonts w:ascii="Times New Roman" w:hAnsi="Times New Roman" w:cs="Times New Roman"/>
      <w:sz w:val="22"/>
    </w:rPr>
  </w:style>
  <w:style w:type="paragraph" w:styleId="Indeksas1">
    <w:name w:val="index 1"/>
    <w:basedOn w:val="prastasis"/>
    <w:next w:val="prastasis"/>
    <w:uiPriority w:val="99"/>
    <w:semiHidden/>
    <w:rsid w:val="00ED7FAB"/>
    <w:pPr>
      <w:keepNext/>
      <w:spacing w:before="260" w:line="280" w:lineRule="exact"/>
      <w:ind w:right="851"/>
    </w:pPr>
    <w:rPr>
      <w:b/>
      <w:sz w:val="24"/>
    </w:rPr>
  </w:style>
  <w:style w:type="paragraph" w:customStyle="1" w:styleId="Graphic">
    <w:name w:val="Graphic"/>
    <w:basedOn w:val="Paraas"/>
    <w:uiPriority w:val="99"/>
    <w:rsid w:val="00ED7FAB"/>
    <w:pPr>
      <w:pBdr>
        <w:top w:val="single" w:sz="4" w:space="1" w:color="auto"/>
        <w:left w:val="single" w:sz="4" w:space="1" w:color="auto"/>
        <w:bottom w:val="single" w:sz="4" w:space="1" w:color="auto"/>
        <w:right w:val="single" w:sz="4" w:space="1" w:color="auto"/>
      </w:pBdr>
      <w:jc w:val="center"/>
    </w:pPr>
  </w:style>
  <w:style w:type="paragraph" w:styleId="Paraas">
    <w:name w:val="Signature"/>
    <w:basedOn w:val="prastasis"/>
    <w:link w:val="ParaasDiagrama"/>
    <w:uiPriority w:val="99"/>
    <w:rsid w:val="00ED7FAB"/>
  </w:style>
  <w:style w:type="character" w:customStyle="1" w:styleId="ParaasDiagrama">
    <w:name w:val="Parašas Diagrama"/>
    <w:link w:val="Paraas"/>
    <w:uiPriority w:val="99"/>
    <w:semiHidden/>
    <w:locked/>
    <w:rsid w:val="00512481"/>
    <w:rPr>
      <w:rFonts w:ascii="Times New Roman" w:hAnsi="Times New Roman" w:cs="Times New Roman"/>
      <w:sz w:val="20"/>
      <w:szCs w:val="20"/>
      <w:lang w:val="en-US" w:eastAsia="en-US"/>
    </w:rPr>
  </w:style>
  <w:style w:type="character" w:styleId="Puslapionumeris">
    <w:name w:val="page number"/>
    <w:uiPriority w:val="99"/>
    <w:rsid w:val="00ED7FAB"/>
    <w:rPr>
      <w:rFonts w:cs="Times New Roman"/>
      <w:sz w:val="22"/>
    </w:rPr>
  </w:style>
  <w:style w:type="paragraph" w:styleId="Indeksas2">
    <w:name w:val="index 2"/>
    <w:basedOn w:val="prastasis"/>
    <w:next w:val="prastasis"/>
    <w:uiPriority w:val="99"/>
    <w:semiHidden/>
    <w:rsid w:val="00ED7FAB"/>
    <w:pPr>
      <w:ind w:left="340" w:right="851"/>
    </w:pPr>
  </w:style>
  <w:style w:type="paragraph" w:customStyle="1" w:styleId="zreportaddinfo">
    <w:name w:val="zreport addinfo"/>
    <w:basedOn w:val="prastasis"/>
    <w:uiPriority w:val="99"/>
    <w:semiHidden/>
    <w:rsid w:val="00ED7FAB"/>
    <w:pPr>
      <w:framePr w:wrap="around" w:hAnchor="margin" w:xAlign="center" w:yAlign="bottom"/>
      <w:spacing w:line="240" w:lineRule="exact"/>
      <w:jc w:val="center"/>
    </w:pPr>
    <w:rPr>
      <w:noProof/>
      <w:sz w:val="20"/>
    </w:rPr>
  </w:style>
  <w:style w:type="paragraph" w:customStyle="1" w:styleId="zreportaddinfoit">
    <w:name w:val="zreport addinfoit"/>
    <w:basedOn w:val="prastasis"/>
    <w:uiPriority w:val="99"/>
    <w:rsid w:val="00ED7FAB"/>
    <w:pPr>
      <w:framePr w:wrap="around" w:hAnchor="page" w:xAlign="center" w:yAlign="bottom"/>
      <w:spacing w:line="260" w:lineRule="atLeast"/>
      <w:jc w:val="center"/>
    </w:pPr>
    <w:rPr>
      <w:rFonts w:ascii="Times" w:hAnsi="Times"/>
      <w:i/>
      <w:sz w:val="20"/>
    </w:rPr>
  </w:style>
  <w:style w:type="paragraph" w:customStyle="1" w:styleId="AppendixHeading">
    <w:name w:val="Appendix Heading"/>
    <w:basedOn w:val="Antrat1"/>
    <w:next w:val="Pagrindinistekstas"/>
    <w:uiPriority w:val="99"/>
    <w:rsid w:val="00ED7FAB"/>
    <w:pPr>
      <w:outlineLvl w:val="9"/>
    </w:pPr>
  </w:style>
  <w:style w:type="paragraph" w:styleId="Sraassuenkleliais3">
    <w:name w:val="List Bullet 3"/>
    <w:basedOn w:val="Sraassuenkleliais"/>
    <w:uiPriority w:val="99"/>
    <w:rsid w:val="00ED7FAB"/>
    <w:pPr>
      <w:numPr>
        <w:numId w:val="1"/>
      </w:numPr>
      <w:tabs>
        <w:tab w:val="clear" w:pos="360"/>
        <w:tab w:val="num" w:pos="340"/>
        <w:tab w:val="num" w:pos="643"/>
      </w:tabs>
      <w:ind w:left="643"/>
      <w:jc w:val="left"/>
    </w:pPr>
    <w:rPr>
      <w:sz w:val="18"/>
    </w:rPr>
  </w:style>
  <w:style w:type="paragraph" w:customStyle="1" w:styleId="AppendixHeading2">
    <w:name w:val="Appendix Heading 2"/>
    <w:basedOn w:val="Antrat2"/>
    <w:next w:val="Pagrindinistekstas"/>
    <w:uiPriority w:val="99"/>
    <w:rsid w:val="00ED7FAB"/>
    <w:pPr>
      <w:outlineLvl w:val="9"/>
    </w:pPr>
  </w:style>
  <w:style w:type="paragraph" w:customStyle="1" w:styleId="AppendixHeading3">
    <w:name w:val="Appendix Heading 3"/>
    <w:basedOn w:val="Antrat3"/>
    <w:next w:val="Pagrindinistekstas"/>
    <w:uiPriority w:val="99"/>
    <w:rsid w:val="00ED7FAB"/>
    <w:pPr>
      <w:outlineLvl w:val="9"/>
    </w:pPr>
    <w:rPr>
      <w:b/>
      <w:sz w:val="24"/>
    </w:rPr>
  </w:style>
  <w:style w:type="paragraph" w:customStyle="1" w:styleId="AppendixHeading4">
    <w:name w:val="Appendix Heading 4"/>
    <w:basedOn w:val="Antrat4"/>
    <w:next w:val="Pagrindinistekstas"/>
    <w:uiPriority w:val="99"/>
    <w:rsid w:val="00ED7FAB"/>
    <w:pPr>
      <w:tabs>
        <w:tab w:val="clear" w:pos="0"/>
      </w:tabs>
      <w:outlineLvl w:val="9"/>
    </w:pPr>
  </w:style>
  <w:style w:type="paragraph" w:customStyle="1" w:styleId="AppendixHeading5">
    <w:name w:val="Appendix Heading 5"/>
    <w:basedOn w:val="Antrat5"/>
    <w:next w:val="Pagrindinistekstas"/>
    <w:uiPriority w:val="99"/>
    <w:rsid w:val="00ED7FAB"/>
    <w:pPr>
      <w:outlineLvl w:val="9"/>
    </w:pPr>
  </w:style>
  <w:style w:type="paragraph" w:styleId="Pagrindinistekstas3">
    <w:name w:val="Body Text 3"/>
    <w:basedOn w:val="prastasis"/>
    <w:link w:val="Pagrindinistekstas3Diagrama"/>
    <w:uiPriority w:val="99"/>
    <w:rsid w:val="00ED7FAB"/>
    <w:pPr>
      <w:ind w:left="142" w:hanging="142"/>
    </w:pPr>
    <w:rPr>
      <w:sz w:val="18"/>
      <w:szCs w:val="16"/>
    </w:rPr>
  </w:style>
  <w:style w:type="character" w:customStyle="1" w:styleId="Pagrindinistekstas3Diagrama">
    <w:name w:val="Pagrindinis tekstas 3 Diagrama"/>
    <w:link w:val="Pagrindinistekstas3"/>
    <w:uiPriority w:val="99"/>
    <w:locked/>
    <w:rsid w:val="001534C9"/>
    <w:rPr>
      <w:rFonts w:ascii="Times New Roman" w:hAnsi="Times New Roman" w:cs="Times New Roman"/>
      <w:sz w:val="16"/>
      <w:szCs w:val="16"/>
    </w:rPr>
  </w:style>
  <w:style w:type="paragraph" w:styleId="Antrat">
    <w:name w:val="caption"/>
    <w:basedOn w:val="prastasis"/>
    <w:next w:val="prastasis"/>
    <w:uiPriority w:val="99"/>
    <w:qFormat/>
    <w:rsid w:val="00ED7FAB"/>
    <w:rPr>
      <w:bCs/>
      <w:i/>
      <w:sz w:val="14"/>
    </w:rPr>
  </w:style>
  <w:style w:type="paragraph" w:styleId="Sraassuenkleliais4">
    <w:name w:val="List Bullet 4"/>
    <w:basedOn w:val="Sraassuenkleliais2"/>
    <w:uiPriority w:val="99"/>
    <w:rsid w:val="00ED7FAB"/>
    <w:pPr>
      <w:numPr>
        <w:numId w:val="2"/>
      </w:numPr>
      <w:tabs>
        <w:tab w:val="clear" w:pos="643"/>
        <w:tab w:val="num" w:pos="340"/>
        <w:tab w:val="num" w:pos="680"/>
      </w:tabs>
      <w:ind w:left="340" w:hanging="340"/>
      <w:jc w:val="left"/>
    </w:pPr>
    <w:rPr>
      <w:sz w:val="18"/>
    </w:rPr>
  </w:style>
  <w:style w:type="paragraph" w:customStyle="1" w:styleId="zDocRevwH2">
    <w:name w:val="zDocRevwH2"/>
    <w:basedOn w:val="prastasis"/>
    <w:uiPriority w:val="99"/>
    <w:semiHidden/>
    <w:rsid w:val="00ED7FAB"/>
    <w:pPr>
      <w:spacing w:before="130" w:after="130"/>
    </w:pPr>
    <w:rPr>
      <w:b/>
      <w:sz w:val="28"/>
    </w:rPr>
  </w:style>
  <w:style w:type="paragraph" w:customStyle="1" w:styleId="zDocRevwH1">
    <w:name w:val="zDocRevwH1"/>
    <w:basedOn w:val="prastasis"/>
    <w:uiPriority w:val="99"/>
    <w:semiHidden/>
    <w:rsid w:val="00ED7FAB"/>
    <w:pPr>
      <w:spacing w:before="130" w:after="130"/>
    </w:pPr>
    <w:rPr>
      <w:b/>
      <w:sz w:val="32"/>
    </w:rPr>
  </w:style>
  <w:style w:type="paragraph" w:styleId="Debesliotekstas">
    <w:name w:val="Balloon Text"/>
    <w:basedOn w:val="prastasis"/>
    <w:link w:val="DebesliotekstasDiagrama"/>
    <w:uiPriority w:val="99"/>
    <w:semiHidden/>
    <w:rsid w:val="00ED7FAB"/>
    <w:rPr>
      <w:rFonts w:ascii="Tahoma" w:hAnsi="Tahoma" w:cs="Tahoma"/>
      <w:sz w:val="16"/>
      <w:szCs w:val="16"/>
    </w:rPr>
  </w:style>
  <w:style w:type="character" w:customStyle="1" w:styleId="DebesliotekstasDiagrama">
    <w:name w:val="Debesėlio tekstas Diagrama"/>
    <w:link w:val="Debesliotekstas"/>
    <w:uiPriority w:val="99"/>
    <w:semiHidden/>
    <w:locked/>
    <w:rsid w:val="00512481"/>
    <w:rPr>
      <w:rFonts w:ascii="Times New Roman" w:hAnsi="Times New Roman" w:cs="Times New Roman"/>
      <w:sz w:val="2"/>
      <w:lang w:val="en-US" w:eastAsia="en-US"/>
    </w:rPr>
  </w:style>
  <w:style w:type="paragraph" w:customStyle="1" w:styleId="adr">
    <w:name w:val="adr"/>
    <w:basedOn w:val="prastasis"/>
    <w:uiPriority w:val="99"/>
    <w:rsid w:val="00ED7FAB"/>
    <w:pPr>
      <w:tabs>
        <w:tab w:val="left" w:pos="680"/>
        <w:tab w:val="right" w:pos="7683"/>
        <w:tab w:val="right" w:pos="9120"/>
      </w:tabs>
      <w:spacing w:line="240" w:lineRule="exact"/>
    </w:pPr>
    <w:rPr>
      <w:rFonts w:ascii="Univers 45 Light" w:hAnsi="Univers 45 Light"/>
      <w:sz w:val="16"/>
    </w:rPr>
  </w:style>
  <w:style w:type="paragraph" w:customStyle="1" w:styleId="cj">
    <w:name w:val="cj"/>
    <w:basedOn w:val="prastasis"/>
    <w:next w:val="underskrift"/>
    <w:uiPriority w:val="99"/>
    <w:rsid w:val="00ED7FAB"/>
    <w:pPr>
      <w:keepNext/>
      <w:spacing w:after="480"/>
    </w:pPr>
    <w:rPr>
      <w:rFonts w:ascii="Times" w:hAnsi="Times"/>
    </w:rPr>
  </w:style>
  <w:style w:type="paragraph" w:customStyle="1" w:styleId="tableheading">
    <w:name w:val="table heading"/>
    <w:aliases w:val="th,tabel heading"/>
    <w:basedOn w:val="prastasis"/>
    <w:uiPriority w:val="99"/>
    <w:rsid w:val="00ED7FAB"/>
    <w:pPr>
      <w:spacing w:line="260" w:lineRule="atLeast"/>
      <w:ind w:left="120" w:right="120"/>
    </w:pPr>
    <w:rPr>
      <w:rFonts w:ascii="Times" w:hAnsi="Times"/>
    </w:rPr>
  </w:style>
  <w:style w:type="paragraph" w:customStyle="1" w:styleId="table">
    <w:name w:val="table_"/>
    <w:aliases w:val="t_"/>
    <w:basedOn w:val="prastasis"/>
    <w:uiPriority w:val="99"/>
    <w:rsid w:val="00ED7FAB"/>
    <w:pPr>
      <w:pBdr>
        <w:bottom w:val="single" w:sz="2" w:space="1" w:color="auto"/>
      </w:pBdr>
      <w:spacing w:after="60" w:line="20" w:lineRule="exact"/>
      <w:ind w:left="120" w:right="120"/>
      <w:jc w:val="right"/>
    </w:pPr>
    <w:rPr>
      <w:rFonts w:ascii="Times" w:hAnsi="Times"/>
      <w:b/>
      <w:position w:val="4"/>
    </w:rPr>
  </w:style>
  <w:style w:type="paragraph" w:customStyle="1" w:styleId="tablesub">
    <w:name w:val="table sub__"/>
    <w:aliases w:val="ts_"/>
    <w:basedOn w:val="table"/>
    <w:autoRedefine/>
    <w:uiPriority w:val="99"/>
    <w:rsid w:val="00ED7FAB"/>
    <w:pPr>
      <w:spacing w:line="60" w:lineRule="exact"/>
    </w:pPr>
    <w:rPr>
      <w:position w:val="-4"/>
    </w:rPr>
  </w:style>
  <w:style w:type="paragraph" w:customStyle="1" w:styleId="tablet">
    <w:name w:val="table t"/>
    <w:aliases w:val="tt"/>
    <w:basedOn w:val="prastasis"/>
    <w:uiPriority w:val="99"/>
    <w:rsid w:val="00ED7FAB"/>
    <w:pPr>
      <w:spacing w:line="40" w:lineRule="exact"/>
    </w:pPr>
    <w:rPr>
      <w:rFonts w:ascii="Times" w:hAnsi="Times"/>
    </w:rPr>
  </w:style>
  <w:style w:type="paragraph" w:customStyle="1" w:styleId="tablet0">
    <w:name w:val="table t_"/>
    <w:aliases w:val="tt_"/>
    <w:basedOn w:val="table"/>
    <w:uiPriority w:val="99"/>
    <w:rsid w:val="00ED7FAB"/>
    <w:rPr>
      <w:sz w:val="18"/>
    </w:rPr>
  </w:style>
  <w:style w:type="paragraph" w:customStyle="1" w:styleId="table0">
    <w:name w:val="table"/>
    <w:aliases w:val="t,tabel,te,tekst"/>
    <w:basedOn w:val="prastasis"/>
    <w:uiPriority w:val="99"/>
    <w:rsid w:val="00ED7FAB"/>
    <w:pPr>
      <w:spacing w:line="260" w:lineRule="atLeast"/>
      <w:ind w:left="260" w:hanging="260"/>
    </w:pPr>
    <w:rPr>
      <w:rFonts w:ascii="Times" w:hAnsi="Times"/>
    </w:rPr>
  </w:style>
  <w:style w:type="paragraph" w:customStyle="1" w:styleId="table1">
    <w:name w:val="table+"/>
    <w:aliases w:val="t+,tabel+,t+table+t,t+table+t + Times New Roman,10 table+ + 8 pt,Btable+,tabel+ + Times Netable+"/>
    <w:basedOn w:val="table0"/>
    <w:uiPriority w:val="99"/>
    <w:rsid w:val="00ED7FAB"/>
    <w:pPr>
      <w:ind w:right="120"/>
      <w:jc w:val="right"/>
    </w:pPr>
  </w:style>
  <w:style w:type="paragraph" w:customStyle="1" w:styleId="table2">
    <w:name w:val="table="/>
    <w:aliases w:val="t="/>
    <w:basedOn w:val="prastasis"/>
    <w:uiPriority w:val="99"/>
    <w:rsid w:val="00ED7FAB"/>
    <w:pPr>
      <w:pBdr>
        <w:bottom w:val="double" w:sz="4" w:space="1" w:color="auto"/>
      </w:pBdr>
      <w:spacing w:after="120" w:line="60" w:lineRule="exact"/>
      <w:ind w:left="120" w:right="120"/>
      <w:jc w:val="right"/>
    </w:pPr>
    <w:rPr>
      <w:rFonts w:ascii="Times" w:hAnsi="Times"/>
      <w:position w:val="-6"/>
      <w:sz w:val="44"/>
      <w:u w:val="double"/>
    </w:rPr>
  </w:style>
  <w:style w:type="paragraph" w:customStyle="1" w:styleId="tfl">
    <w:name w:val="tfl"/>
    <w:basedOn w:val="prastasis"/>
    <w:uiPriority w:val="99"/>
    <w:rsid w:val="00ED7FAB"/>
    <w:pPr>
      <w:spacing w:line="240" w:lineRule="exact"/>
    </w:pPr>
    <w:rPr>
      <w:rFonts w:ascii="Times" w:hAnsi="Times"/>
      <w:i/>
    </w:rPr>
  </w:style>
  <w:style w:type="paragraph" w:customStyle="1" w:styleId="underskrift">
    <w:name w:val="underskrift"/>
    <w:aliases w:val="u"/>
    <w:basedOn w:val="prastasis"/>
    <w:next w:val="prastasis"/>
    <w:uiPriority w:val="99"/>
    <w:rsid w:val="00ED7FAB"/>
    <w:pPr>
      <w:tabs>
        <w:tab w:val="left" w:pos="3240"/>
        <w:tab w:val="center" w:pos="4080"/>
        <w:tab w:val="right" w:pos="8160"/>
      </w:tabs>
      <w:spacing w:before="600" w:after="260"/>
    </w:pPr>
    <w:rPr>
      <w:rFonts w:ascii="Times" w:hAnsi="Times"/>
    </w:rPr>
  </w:style>
  <w:style w:type="paragraph" w:customStyle="1" w:styleId="initialer">
    <w:name w:val="initialer"/>
    <w:aliases w:val="int"/>
    <w:basedOn w:val="prastasis"/>
    <w:next w:val="prastasis"/>
    <w:uiPriority w:val="99"/>
    <w:rsid w:val="00ED7FAB"/>
    <w:pPr>
      <w:framePr w:w="9405" w:hSpace="180" w:vSpace="180" w:wrap="auto" w:hAnchor="text" w:yAlign="bottom"/>
      <w:spacing w:line="360" w:lineRule="atLeast"/>
    </w:pPr>
    <w:rPr>
      <w:rFonts w:ascii="Times" w:hAnsi="Times"/>
      <w:sz w:val="16"/>
    </w:rPr>
  </w:style>
  <w:style w:type="paragraph" w:customStyle="1" w:styleId="at">
    <w:name w:val="at"/>
    <w:basedOn w:val="prastasis"/>
    <w:uiPriority w:val="99"/>
    <w:rsid w:val="00ED7FAB"/>
    <w:pPr>
      <w:spacing w:after="260" w:line="260" w:lineRule="atLeast"/>
      <w:ind w:left="567" w:hanging="567"/>
      <w:jc w:val="both"/>
    </w:pPr>
    <w:rPr>
      <w:rFonts w:ascii="Times" w:hAnsi="Times"/>
    </w:rPr>
  </w:style>
  <w:style w:type="paragraph" w:customStyle="1" w:styleId="citat">
    <w:name w:val="citat"/>
    <w:aliases w:val="c"/>
    <w:basedOn w:val="Pagrindinistekstas"/>
    <w:next w:val="citat2"/>
    <w:uiPriority w:val="99"/>
    <w:rsid w:val="00ED7FAB"/>
    <w:pPr>
      <w:spacing w:before="0" w:after="260" w:line="260" w:lineRule="atLeast"/>
      <w:ind w:left="340" w:hanging="80"/>
      <w:jc w:val="left"/>
    </w:pPr>
    <w:rPr>
      <w:rFonts w:ascii="Times" w:hAnsi="Times"/>
    </w:rPr>
  </w:style>
  <w:style w:type="paragraph" w:customStyle="1" w:styleId="citat2">
    <w:name w:val="citat2"/>
    <w:basedOn w:val="citat"/>
    <w:uiPriority w:val="99"/>
    <w:rsid w:val="00ED7FAB"/>
    <w:pPr>
      <w:ind w:firstLine="0"/>
    </w:pPr>
  </w:style>
  <w:style w:type="paragraph" w:customStyle="1" w:styleId="midtpjevs">
    <w:name w:val="midtpjevs"/>
    <w:basedOn w:val="prastasis"/>
    <w:next w:val="prastasis"/>
    <w:uiPriority w:val="99"/>
    <w:rsid w:val="00ED7FAB"/>
    <w:pPr>
      <w:tabs>
        <w:tab w:val="center" w:pos="4400"/>
      </w:tabs>
      <w:spacing w:after="260" w:line="260" w:lineRule="atLeast"/>
      <w:jc w:val="center"/>
    </w:pPr>
    <w:rPr>
      <w:rFonts w:ascii="Times" w:hAnsi="Times"/>
      <w:b/>
      <w:spacing w:val="40"/>
      <w:sz w:val="28"/>
    </w:rPr>
  </w:style>
  <w:style w:type="paragraph" w:customStyle="1" w:styleId="mvh">
    <w:name w:val="mvh"/>
    <w:basedOn w:val="cj"/>
    <w:next w:val="underskrift"/>
    <w:uiPriority w:val="99"/>
    <w:rsid w:val="00ED7FAB"/>
  </w:style>
  <w:style w:type="paragraph" w:styleId="Pagrindinistekstas2">
    <w:name w:val="Body Text 2"/>
    <w:basedOn w:val="prastasis"/>
    <w:link w:val="Pagrindinistekstas2Diagrama"/>
    <w:uiPriority w:val="99"/>
    <w:rsid w:val="00ED7FAB"/>
    <w:pPr>
      <w:tabs>
        <w:tab w:val="left" w:pos="4440"/>
      </w:tabs>
      <w:spacing w:before="120" w:line="260" w:lineRule="atLeast"/>
      <w:ind w:right="-1379"/>
    </w:pPr>
    <w:rPr>
      <w:rFonts w:ascii="Times" w:hAnsi="Times"/>
      <w:color w:val="000000"/>
      <w:sz w:val="18"/>
    </w:rPr>
  </w:style>
  <w:style w:type="character" w:customStyle="1" w:styleId="Pagrindinistekstas2Diagrama">
    <w:name w:val="Pagrindinis tekstas 2 Diagrama"/>
    <w:link w:val="Pagrindinistekstas2"/>
    <w:uiPriority w:val="99"/>
    <w:semiHidden/>
    <w:locked/>
    <w:rsid w:val="00512481"/>
    <w:rPr>
      <w:rFonts w:ascii="Times New Roman" w:hAnsi="Times New Roman" w:cs="Times New Roman"/>
      <w:sz w:val="20"/>
      <w:szCs w:val="20"/>
      <w:lang w:val="en-US" w:eastAsia="en-US"/>
    </w:rPr>
  </w:style>
  <w:style w:type="character" w:styleId="Hipersaitas">
    <w:name w:val="Hyperlink"/>
    <w:uiPriority w:val="99"/>
    <w:rsid w:val="004533EF"/>
    <w:rPr>
      <w:rFonts w:cs="Times New Roman"/>
      <w:color w:val="0000FF"/>
      <w:u w:val="single"/>
    </w:rPr>
  </w:style>
  <w:style w:type="paragraph" w:customStyle="1" w:styleId="Heading3bodytext">
    <w:name w:val="Heading 3 +body text"/>
    <w:basedOn w:val="Antrat3"/>
    <w:uiPriority w:val="99"/>
    <w:rsid w:val="00511BC3"/>
    <w:pPr>
      <w:tabs>
        <w:tab w:val="left" w:pos="0"/>
      </w:tabs>
      <w:spacing w:before="200"/>
    </w:pPr>
    <w:rPr>
      <w:b/>
      <w:sz w:val="24"/>
      <w:lang w:val="lt-LT"/>
    </w:rPr>
  </w:style>
  <w:style w:type="paragraph" w:styleId="Sraopastraipa">
    <w:name w:val="List Paragraph"/>
    <w:basedOn w:val="prastasis"/>
    <w:uiPriority w:val="99"/>
    <w:qFormat/>
    <w:rsid w:val="0003154B"/>
    <w:pPr>
      <w:ind w:left="720"/>
      <w:contextualSpacing/>
    </w:pPr>
  </w:style>
  <w:style w:type="paragraph" w:styleId="Pagrindiniotekstotrauka2">
    <w:name w:val="Body Text Indent 2"/>
    <w:basedOn w:val="prastasis"/>
    <w:link w:val="Pagrindiniotekstotrauka2Diagrama"/>
    <w:uiPriority w:val="99"/>
    <w:rsid w:val="00101E45"/>
    <w:pPr>
      <w:spacing w:after="120" w:line="480" w:lineRule="auto"/>
      <w:ind w:left="283"/>
    </w:pPr>
  </w:style>
  <w:style w:type="character" w:customStyle="1" w:styleId="Pagrindiniotekstotrauka2Diagrama">
    <w:name w:val="Pagrindinio teksto įtrauka 2 Diagrama"/>
    <w:link w:val="Pagrindiniotekstotrauka2"/>
    <w:uiPriority w:val="99"/>
    <w:locked/>
    <w:rsid w:val="00101E45"/>
    <w:rPr>
      <w:rFonts w:ascii="Times New Roman" w:hAnsi="Times New Roman" w:cs="Times New Roman"/>
      <w:sz w:val="22"/>
    </w:rPr>
  </w:style>
  <w:style w:type="paragraph" w:styleId="prastasiniatinklio">
    <w:name w:val="Normal (Web)"/>
    <w:basedOn w:val="prastasis"/>
    <w:uiPriority w:val="99"/>
    <w:rsid w:val="00BB118E"/>
    <w:pPr>
      <w:spacing w:before="100" w:beforeAutospacing="1" w:after="100" w:afterAutospacing="1"/>
    </w:pPr>
    <w:rPr>
      <w:sz w:val="24"/>
      <w:szCs w:val="24"/>
      <w:lang w:val="lt-LT" w:eastAsia="lt-LT"/>
    </w:rPr>
  </w:style>
  <w:style w:type="table" w:styleId="Lentelstinklelis">
    <w:name w:val="Table Grid"/>
    <w:basedOn w:val="prastojilentel"/>
    <w:uiPriority w:val="99"/>
    <w:rsid w:val="000E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rsid w:val="00663EBA"/>
    <w:rPr>
      <w:rFonts w:cs="Times New Roman"/>
      <w:sz w:val="16"/>
      <w:szCs w:val="16"/>
    </w:rPr>
  </w:style>
  <w:style w:type="paragraph" w:styleId="Komentarotekstas">
    <w:name w:val="annotation text"/>
    <w:basedOn w:val="prastasis"/>
    <w:link w:val="KomentarotekstasDiagrama"/>
    <w:uiPriority w:val="99"/>
    <w:rsid w:val="00663EBA"/>
    <w:rPr>
      <w:sz w:val="20"/>
    </w:rPr>
  </w:style>
  <w:style w:type="character" w:customStyle="1" w:styleId="KomentarotekstasDiagrama">
    <w:name w:val="Komentaro tekstas Diagrama"/>
    <w:link w:val="Komentarotekstas"/>
    <w:uiPriority w:val="99"/>
    <w:locked/>
    <w:rsid w:val="00663EBA"/>
    <w:rPr>
      <w:rFonts w:ascii="Times New Roman" w:hAnsi="Times New Roman" w:cs="Times New Roman"/>
    </w:rPr>
  </w:style>
  <w:style w:type="paragraph" w:styleId="Komentarotema">
    <w:name w:val="annotation subject"/>
    <w:basedOn w:val="Komentarotekstas"/>
    <w:next w:val="Komentarotekstas"/>
    <w:link w:val="KomentarotemaDiagrama"/>
    <w:uiPriority w:val="99"/>
    <w:rsid w:val="00663EBA"/>
    <w:rPr>
      <w:b/>
      <w:bCs/>
    </w:rPr>
  </w:style>
  <w:style w:type="character" w:customStyle="1" w:styleId="KomentarotemaDiagrama">
    <w:name w:val="Komentaro tema Diagrama"/>
    <w:link w:val="Komentarotema"/>
    <w:uiPriority w:val="99"/>
    <w:locked/>
    <w:rsid w:val="00663EBA"/>
    <w:rPr>
      <w:rFonts w:ascii="Times New Roman" w:hAnsi="Times New Roman" w:cs="Times New Roman"/>
      <w:b/>
      <w:bCs/>
    </w:rPr>
  </w:style>
  <w:style w:type="paragraph" w:styleId="Pataisymai">
    <w:name w:val="Revision"/>
    <w:hidden/>
    <w:uiPriority w:val="99"/>
    <w:semiHidden/>
    <w:rsid w:val="00D21529"/>
    <w:rPr>
      <w:rFonts w:ascii="Times New Roman" w:hAnsi="Times New Roman"/>
      <w:sz w:val="22"/>
      <w:lang w:val="en-US" w:eastAsia="en-US"/>
    </w:rPr>
  </w:style>
  <w:style w:type="paragraph" w:customStyle="1" w:styleId="Style4">
    <w:name w:val="Style4"/>
    <w:basedOn w:val="Antrat3"/>
    <w:uiPriority w:val="99"/>
    <w:rsid w:val="009A6D92"/>
    <w:pPr>
      <w:tabs>
        <w:tab w:val="left" w:pos="0"/>
      </w:tabs>
      <w:spacing w:before="240" w:after="60"/>
    </w:pPr>
    <w:rPr>
      <w:i/>
      <w:sz w:val="22"/>
      <w:szCs w:val="22"/>
      <w:lang w:val="lt-LT"/>
    </w:rPr>
  </w:style>
  <w:style w:type="character" w:styleId="Emfaz">
    <w:name w:val="Emphasis"/>
    <w:uiPriority w:val="99"/>
    <w:qFormat/>
    <w:rsid w:val="00CA02C5"/>
    <w:rPr>
      <w:rFonts w:cs="Times New Roman"/>
      <w:b/>
      <w:bCs/>
    </w:rPr>
  </w:style>
  <w:style w:type="character" w:customStyle="1" w:styleId="Antrat3Diagrama">
    <w:name w:val="Antraštė 3 Diagrama"/>
    <w:aliases w:val="Antraštė 31 Diagrama,Char Char Char Diagrama"/>
    <w:link w:val="Antrat3"/>
    <w:uiPriority w:val="99"/>
    <w:locked/>
    <w:rsid w:val="005E09AE"/>
    <w:rPr>
      <w:rFonts w:ascii="Times New Roman" w:hAnsi="Times New Roman" w:cs="Times New Roman"/>
    </w:rPr>
  </w:style>
  <w:style w:type="paragraph" w:styleId="Paprastasistekstas">
    <w:name w:val="Plain Text"/>
    <w:basedOn w:val="prastasis"/>
    <w:link w:val="PaprastasistekstasDiagrama"/>
    <w:uiPriority w:val="99"/>
    <w:semiHidden/>
    <w:rsid w:val="00210048"/>
    <w:rPr>
      <w:rFonts w:ascii="Calibri" w:hAnsi="Calibri"/>
      <w:szCs w:val="21"/>
      <w:lang w:val="lt-LT"/>
    </w:rPr>
  </w:style>
  <w:style w:type="character" w:customStyle="1" w:styleId="PaprastasistekstasDiagrama">
    <w:name w:val="Paprastasis tekstas Diagrama"/>
    <w:link w:val="Paprastasistekstas"/>
    <w:uiPriority w:val="99"/>
    <w:semiHidden/>
    <w:locked/>
    <w:rsid w:val="00210048"/>
    <w:rPr>
      <w:rFonts w:ascii="Calibri" w:hAnsi="Calibri" w:cs="Times New Roman"/>
      <w:sz w:val="21"/>
      <w:szCs w:val="21"/>
      <w:lang w:val="lt-LT"/>
    </w:rPr>
  </w:style>
  <w:style w:type="paragraph" w:customStyle="1" w:styleId="AANumbering">
    <w:name w:val="AA Numbering"/>
    <w:basedOn w:val="prastasis"/>
    <w:uiPriority w:val="99"/>
    <w:rsid w:val="00072BAB"/>
    <w:pPr>
      <w:numPr>
        <w:numId w:val="17"/>
      </w:numPr>
      <w:spacing w:line="240" w:lineRule="atLeast"/>
    </w:pPr>
    <w:rPr>
      <w:rFonts w:ascii="Arial" w:hAnsi="Arial"/>
      <w:sz w:val="18"/>
    </w:rPr>
  </w:style>
  <w:style w:type="paragraph" w:customStyle="1" w:styleId="BodyText1">
    <w:name w:val="Body Text1"/>
    <w:uiPriority w:val="99"/>
    <w:rsid w:val="00422BA2"/>
    <w:pPr>
      <w:autoSpaceDE w:val="0"/>
      <w:autoSpaceDN w:val="0"/>
      <w:adjustRightInd w:val="0"/>
      <w:ind w:firstLine="312"/>
      <w:jc w:val="both"/>
    </w:pPr>
    <w:rPr>
      <w:rFonts w:ascii="TimesLT" w:hAnsi="TimesLT"/>
      <w:lang w:val="en-US" w:eastAsia="en-US"/>
    </w:rPr>
  </w:style>
  <w:style w:type="paragraph" w:styleId="Turinioantrat">
    <w:name w:val="TOC Heading"/>
    <w:basedOn w:val="Antrat1"/>
    <w:next w:val="prastasis"/>
    <w:uiPriority w:val="99"/>
    <w:qFormat/>
    <w:rsid w:val="00666BD1"/>
    <w:pPr>
      <w:keepLines/>
      <w:spacing w:before="240" w:line="259" w:lineRule="auto"/>
      <w:outlineLvl w:val="9"/>
    </w:pPr>
    <w:rPr>
      <w:rFonts w:ascii="Cambria" w:hAnsi="Cambria"/>
      <w:b w:val="0"/>
      <w:color w:val="365F91"/>
      <w:szCs w:val="32"/>
    </w:rPr>
  </w:style>
  <w:style w:type="paragraph" w:styleId="Pagrindiniotekstotrauka3">
    <w:name w:val="Body Text Indent 3"/>
    <w:basedOn w:val="prastasis"/>
    <w:link w:val="Pagrindiniotekstotrauka3Diagrama"/>
    <w:uiPriority w:val="99"/>
    <w:semiHidden/>
    <w:rsid w:val="003D1688"/>
    <w:pPr>
      <w:spacing w:after="120"/>
      <w:ind w:left="360"/>
    </w:pPr>
    <w:rPr>
      <w:sz w:val="16"/>
      <w:szCs w:val="16"/>
    </w:rPr>
  </w:style>
  <w:style w:type="character" w:customStyle="1" w:styleId="Pagrindiniotekstotrauka3Diagrama">
    <w:name w:val="Pagrindinio teksto įtrauka 3 Diagrama"/>
    <w:link w:val="Pagrindiniotekstotrauka3"/>
    <w:uiPriority w:val="99"/>
    <w:semiHidden/>
    <w:locked/>
    <w:rsid w:val="003D1688"/>
    <w:rPr>
      <w:rFonts w:ascii="Times New Roman" w:hAnsi="Times New Roman" w:cs="Times New Roman"/>
      <w:sz w:val="16"/>
      <w:szCs w:val="16"/>
    </w:rPr>
  </w:style>
  <w:style w:type="paragraph" w:customStyle="1" w:styleId="tajtip">
    <w:name w:val="tajtip"/>
    <w:basedOn w:val="prastasis"/>
    <w:uiPriority w:val="99"/>
    <w:rsid w:val="00B2438A"/>
    <w:pPr>
      <w:spacing w:before="100" w:beforeAutospacing="1" w:after="100" w:afterAutospacing="1"/>
    </w:pPr>
    <w:rPr>
      <w:sz w:val="24"/>
      <w:szCs w:val="24"/>
    </w:rPr>
  </w:style>
  <w:style w:type="table" w:customStyle="1" w:styleId="GridTable6Colorful1">
    <w:name w:val="Grid Table 6 Colorful1"/>
    <w:uiPriority w:val="99"/>
    <w:rsid w:val="00DA1155"/>
    <w:rPr>
      <w:rFonts w:ascii="Calibri" w:hAnsi="Calibri"/>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character" w:styleId="Grietas">
    <w:name w:val="Strong"/>
    <w:uiPriority w:val="99"/>
    <w:qFormat/>
    <w:rsid w:val="001F519A"/>
    <w:rPr>
      <w:rFonts w:cs="Times New Roman"/>
      <w:b/>
      <w:bCs/>
    </w:rPr>
  </w:style>
  <w:style w:type="paragraph" w:customStyle="1" w:styleId="bodytext">
    <w:name w:val="bodytext"/>
    <w:basedOn w:val="prastasis"/>
    <w:uiPriority w:val="99"/>
    <w:rsid w:val="009D0811"/>
    <w:pPr>
      <w:spacing w:before="100" w:beforeAutospacing="1" w:after="100" w:afterAutospacing="1"/>
    </w:pPr>
    <w:rPr>
      <w:sz w:val="24"/>
      <w:szCs w:val="24"/>
      <w:lang w:val="lt-LT" w:eastAsia="lt-LT"/>
    </w:rPr>
  </w:style>
  <w:style w:type="character" w:customStyle="1" w:styleId="highlightselected">
    <w:name w:val="highlight selected"/>
    <w:uiPriority w:val="99"/>
    <w:rsid w:val="000E79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156945">
      <w:marLeft w:val="0"/>
      <w:marRight w:val="0"/>
      <w:marTop w:val="0"/>
      <w:marBottom w:val="0"/>
      <w:divBdr>
        <w:top w:val="none" w:sz="0" w:space="0" w:color="auto"/>
        <w:left w:val="none" w:sz="0" w:space="0" w:color="auto"/>
        <w:bottom w:val="none" w:sz="0" w:space="0" w:color="auto"/>
        <w:right w:val="none" w:sz="0" w:space="0" w:color="auto"/>
      </w:divBdr>
    </w:div>
    <w:div w:id="1302156948">
      <w:marLeft w:val="0"/>
      <w:marRight w:val="0"/>
      <w:marTop w:val="0"/>
      <w:marBottom w:val="0"/>
      <w:divBdr>
        <w:top w:val="none" w:sz="0" w:space="0" w:color="auto"/>
        <w:left w:val="none" w:sz="0" w:space="0" w:color="auto"/>
        <w:bottom w:val="none" w:sz="0" w:space="0" w:color="auto"/>
        <w:right w:val="none" w:sz="0" w:space="0" w:color="auto"/>
      </w:divBdr>
    </w:div>
    <w:div w:id="1302156949">
      <w:marLeft w:val="0"/>
      <w:marRight w:val="0"/>
      <w:marTop w:val="0"/>
      <w:marBottom w:val="0"/>
      <w:divBdr>
        <w:top w:val="none" w:sz="0" w:space="0" w:color="auto"/>
        <w:left w:val="none" w:sz="0" w:space="0" w:color="auto"/>
        <w:bottom w:val="none" w:sz="0" w:space="0" w:color="auto"/>
        <w:right w:val="none" w:sz="0" w:space="0" w:color="auto"/>
      </w:divBdr>
    </w:div>
    <w:div w:id="1302156952">
      <w:marLeft w:val="0"/>
      <w:marRight w:val="0"/>
      <w:marTop w:val="0"/>
      <w:marBottom w:val="0"/>
      <w:divBdr>
        <w:top w:val="none" w:sz="0" w:space="0" w:color="auto"/>
        <w:left w:val="none" w:sz="0" w:space="0" w:color="auto"/>
        <w:bottom w:val="none" w:sz="0" w:space="0" w:color="auto"/>
        <w:right w:val="none" w:sz="0" w:space="0" w:color="auto"/>
      </w:divBdr>
    </w:div>
    <w:div w:id="1302156954">
      <w:marLeft w:val="0"/>
      <w:marRight w:val="0"/>
      <w:marTop w:val="0"/>
      <w:marBottom w:val="0"/>
      <w:divBdr>
        <w:top w:val="none" w:sz="0" w:space="0" w:color="auto"/>
        <w:left w:val="none" w:sz="0" w:space="0" w:color="auto"/>
        <w:bottom w:val="none" w:sz="0" w:space="0" w:color="auto"/>
        <w:right w:val="none" w:sz="0" w:space="0" w:color="auto"/>
      </w:divBdr>
    </w:div>
    <w:div w:id="1302156955">
      <w:marLeft w:val="0"/>
      <w:marRight w:val="0"/>
      <w:marTop w:val="0"/>
      <w:marBottom w:val="0"/>
      <w:divBdr>
        <w:top w:val="none" w:sz="0" w:space="0" w:color="auto"/>
        <w:left w:val="none" w:sz="0" w:space="0" w:color="auto"/>
        <w:bottom w:val="none" w:sz="0" w:space="0" w:color="auto"/>
        <w:right w:val="none" w:sz="0" w:space="0" w:color="auto"/>
      </w:divBdr>
    </w:div>
    <w:div w:id="1302156957">
      <w:marLeft w:val="0"/>
      <w:marRight w:val="0"/>
      <w:marTop w:val="0"/>
      <w:marBottom w:val="0"/>
      <w:divBdr>
        <w:top w:val="none" w:sz="0" w:space="0" w:color="auto"/>
        <w:left w:val="none" w:sz="0" w:space="0" w:color="auto"/>
        <w:bottom w:val="none" w:sz="0" w:space="0" w:color="auto"/>
        <w:right w:val="none" w:sz="0" w:space="0" w:color="auto"/>
      </w:divBdr>
    </w:div>
    <w:div w:id="1302156958">
      <w:marLeft w:val="0"/>
      <w:marRight w:val="0"/>
      <w:marTop w:val="0"/>
      <w:marBottom w:val="0"/>
      <w:divBdr>
        <w:top w:val="none" w:sz="0" w:space="0" w:color="auto"/>
        <w:left w:val="none" w:sz="0" w:space="0" w:color="auto"/>
        <w:bottom w:val="none" w:sz="0" w:space="0" w:color="auto"/>
        <w:right w:val="none" w:sz="0" w:space="0" w:color="auto"/>
      </w:divBdr>
    </w:div>
    <w:div w:id="1302156959">
      <w:marLeft w:val="0"/>
      <w:marRight w:val="0"/>
      <w:marTop w:val="0"/>
      <w:marBottom w:val="0"/>
      <w:divBdr>
        <w:top w:val="none" w:sz="0" w:space="0" w:color="auto"/>
        <w:left w:val="none" w:sz="0" w:space="0" w:color="auto"/>
        <w:bottom w:val="none" w:sz="0" w:space="0" w:color="auto"/>
        <w:right w:val="none" w:sz="0" w:space="0" w:color="auto"/>
      </w:divBdr>
    </w:div>
    <w:div w:id="1302156961">
      <w:marLeft w:val="0"/>
      <w:marRight w:val="0"/>
      <w:marTop w:val="0"/>
      <w:marBottom w:val="0"/>
      <w:divBdr>
        <w:top w:val="none" w:sz="0" w:space="0" w:color="auto"/>
        <w:left w:val="none" w:sz="0" w:space="0" w:color="auto"/>
        <w:bottom w:val="none" w:sz="0" w:space="0" w:color="auto"/>
        <w:right w:val="none" w:sz="0" w:space="0" w:color="auto"/>
      </w:divBdr>
    </w:div>
    <w:div w:id="1302156962">
      <w:marLeft w:val="0"/>
      <w:marRight w:val="0"/>
      <w:marTop w:val="0"/>
      <w:marBottom w:val="0"/>
      <w:divBdr>
        <w:top w:val="none" w:sz="0" w:space="0" w:color="auto"/>
        <w:left w:val="none" w:sz="0" w:space="0" w:color="auto"/>
        <w:bottom w:val="none" w:sz="0" w:space="0" w:color="auto"/>
        <w:right w:val="none" w:sz="0" w:space="0" w:color="auto"/>
      </w:divBdr>
    </w:div>
    <w:div w:id="1302156965">
      <w:marLeft w:val="0"/>
      <w:marRight w:val="0"/>
      <w:marTop w:val="0"/>
      <w:marBottom w:val="0"/>
      <w:divBdr>
        <w:top w:val="none" w:sz="0" w:space="0" w:color="auto"/>
        <w:left w:val="none" w:sz="0" w:space="0" w:color="auto"/>
        <w:bottom w:val="none" w:sz="0" w:space="0" w:color="auto"/>
        <w:right w:val="none" w:sz="0" w:space="0" w:color="auto"/>
      </w:divBdr>
    </w:div>
    <w:div w:id="1302156967">
      <w:marLeft w:val="0"/>
      <w:marRight w:val="0"/>
      <w:marTop w:val="0"/>
      <w:marBottom w:val="0"/>
      <w:divBdr>
        <w:top w:val="none" w:sz="0" w:space="0" w:color="auto"/>
        <w:left w:val="none" w:sz="0" w:space="0" w:color="auto"/>
        <w:bottom w:val="none" w:sz="0" w:space="0" w:color="auto"/>
        <w:right w:val="none" w:sz="0" w:space="0" w:color="auto"/>
      </w:divBdr>
    </w:div>
    <w:div w:id="1302156968">
      <w:marLeft w:val="0"/>
      <w:marRight w:val="0"/>
      <w:marTop w:val="0"/>
      <w:marBottom w:val="0"/>
      <w:divBdr>
        <w:top w:val="none" w:sz="0" w:space="0" w:color="auto"/>
        <w:left w:val="none" w:sz="0" w:space="0" w:color="auto"/>
        <w:bottom w:val="none" w:sz="0" w:space="0" w:color="auto"/>
        <w:right w:val="none" w:sz="0" w:space="0" w:color="auto"/>
      </w:divBdr>
    </w:div>
    <w:div w:id="1302156969">
      <w:marLeft w:val="0"/>
      <w:marRight w:val="0"/>
      <w:marTop w:val="0"/>
      <w:marBottom w:val="0"/>
      <w:divBdr>
        <w:top w:val="none" w:sz="0" w:space="0" w:color="auto"/>
        <w:left w:val="none" w:sz="0" w:space="0" w:color="auto"/>
        <w:bottom w:val="none" w:sz="0" w:space="0" w:color="auto"/>
        <w:right w:val="none" w:sz="0" w:space="0" w:color="auto"/>
      </w:divBdr>
    </w:div>
    <w:div w:id="1302156970">
      <w:marLeft w:val="0"/>
      <w:marRight w:val="0"/>
      <w:marTop w:val="0"/>
      <w:marBottom w:val="0"/>
      <w:divBdr>
        <w:top w:val="none" w:sz="0" w:space="0" w:color="auto"/>
        <w:left w:val="none" w:sz="0" w:space="0" w:color="auto"/>
        <w:bottom w:val="none" w:sz="0" w:space="0" w:color="auto"/>
        <w:right w:val="none" w:sz="0" w:space="0" w:color="auto"/>
      </w:divBdr>
    </w:div>
    <w:div w:id="1302156971">
      <w:marLeft w:val="0"/>
      <w:marRight w:val="0"/>
      <w:marTop w:val="0"/>
      <w:marBottom w:val="0"/>
      <w:divBdr>
        <w:top w:val="none" w:sz="0" w:space="0" w:color="auto"/>
        <w:left w:val="none" w:sz="0" w:space="0" w:color="auto"/>
        <w:bottom w:val="none" w:sz="0" w:space="0" w:color="auto"/>
        <w:right w:val="none" w:sz="0" w:space="0" w:color="auto"/>
      </w:divBdr>
    </w:div>
    <w:div w:id="1302156972">
      <w:marLeft w:val="0"/>
      <w:marRight w:val="0"/>
      <w:marTop w:val="0"/>
      <w:marBottom w:val="0"/>
      <w:divBdr>
        <w:top w:val="none" w:sz="0" w:space="0" w:color="auto"/>
        <w:left w:val="none" w:sz="0" w:space="0" w:color="auto"/>
        <w:bottom w:val="none" w:sz="0" w:space="0" w:color="auto"/>
        <w:right w:val="none" w:sz="0" w:space="0" w:color="auto"/>
      </w:divBdr>
    </w:div>
    <w:div w:id="1302156974">
      <w:marLeft w:val="0"/>
      <w:marRight w:val="0"/>
      <w:marTop w:val="0"/>
      <w:marBottom w:val="0"/>
      <w:divBdr>
        <w:top w:val="none" w:sz="0" w:space="0" w:color="auto"/>
        <w:left w:val="none" w:sz="0" w:space="0" w:color="auto"/>
        <w:bottom w:val="none" w:sz="0" w:space="0" w:color="auto"/>
        <w:right w:val="none" w:sz="0" w:space="0" w:color="auto"/>
      </w:divBdr>
    </w:div>
    <w:div w:id="1302156975">
      <w:marLeft w:val="0"/>
      <w:marRight w:val="0"/>
      <w:marTop w:val="0"/>
      <w:marBottom w:val="0"/>
      <w:divBdr>
        <w:top w:val="none" w:sz="0" w:space="0" w:color="auto"/>
        <w:left w:val="none" w:sz="0" w:space="0" w:color="auto"/>
        <w:bottom w:val="none" w:sz="0" w:space="0" w:color="auto"/>
        <w:right w:val="none" w:sz="0" w:space="0" w:color="auto"/>
      </w:divBdr>
      <w:divsChild>
        <w:div w:id="1302157057">
          <w:marLeft w:val="0"/>
          <w:marRight w:val="0"/>
          <w:marTop w:val="0"/>
          <w:marBottom w:val="0"/>
          <w:divBdr>
            <w:top w:val="none" w:sz="0" w:space="0" w:color="auto"/>
            <w:left w:val="none" w:sz="0" w:space="0" w:color="auto"/>
            <w:bottom w:val="none" w:sz="0" w:space="0" w:color="auto"/>
            <w:right w:val="none" w:sz="0" w:space="0" w:color="auto"/>
          </w:divBdr>
          <w:divsChild>
            <w:div w:id="1302156973">
              <w:marLeft w:val="0"/>
              <w:marRight w:val="0"/>
              <w:marTop w:val="0"/>
              <w:marBottom w:val="0"/>
              <w:divBdr>
                <w:top w:val="none" w:sz="0" w:space="0" w:color="auto"/>
                <w:left w:val="none" w:sz="0" w:space="0" w:color="auto"/>
                <w:bottom w:val="none" w:sz="0" w:space="0" w:color="auto"/>
                <w:right w:val="none" w:sz="0" w:space="0" w:color="auto"/>
              </w:divBdr>
              <w:divsChild>
                <w:div w:id="1302156964">
                  <w:marLeft w:val="0"/>
                  <w:marRight w:val="0"/>
                  <w:marTop w:val="0"/>
                  <w:marBottom w:val="0"/>
                  <w:divBdr>
                    <w:top w:val="none" w:sz="0" w:space="0" w:color="auto"/>
                    <w:left w:val="none" w:sz="0" w:space="0" w:color="auto"/>
                    <w:bottom w:val="none" w:sz="0" w:space="0" w:color="auto"/>
                    <w:right w:val="none" w:sz="0" w:space="0" w:color="auto"/>
                  </w:divBdr>
                  <w:divsChild>
                    <w:div w:id="1302156951">
                      <w:marLeft w:val="0"/>
                      <w:marRight w:val="0"/>
                      <w:marTop w:val="0"/>
                      <w:marBottom w:val="0"/>
                      <w:divBdr>
                        <w:top w:val="none" w:sz="0" w:space="0" w:color="auto"/>
                        <w:left w:val="none" w:sz="0" w:space="0" w:color="auto"/>
                        <w:bottom w:val="none" w:sz="0" w:space="0" w:color="auto"/>
                        <w:right w:val="none" w:sz="0" w:space="0" w:color="auto"/>
                      </w:divBdr>
                      <w:divsChild>
                        <w:div w:id="1302157077">
                          <w:marLeft w:val="0"/>
                          <w:marRight w:val="0"/>
                          <w:marTop w:val="0"/>
                          <w:marBottom w:val="0"/>
                          <w:divBdr>
                            <w:top w:val="none" w:sz="0" w:space="0" w:color="auto"/>
                            <w:left w:val="none" w:sz="0" w:space="0" w:color="auto"/>
                            <w:bottom w:val="none" w:sz="0" w:space="0" w:color="auto"/>
                            <w:right w:val="none" w:sz="0" w:space="0" w:color="auto"/>
                          </w:divBdr>
                          <w:divsChild>
                            <w:div w:id="1302156963">
                              <w:marLeft w:val="0"/>
                              <w:marRight w:val="0"/>
                              <w:marTop w:val="0"/>
                              <w:marBottom w:val="0"/>
                              <w:divBdr>
                                <w:top w:val="none" w:sz="0" w:space="0" w:color="auto"/>
                                <w:left w:val="none" w:sz="0" w:space="0" w:color="auto"/>
                                <w:bottom w:val="none" w:sz="0" w:space="0" w:color="auto"/>
                                <w:right w:val="none" w:sz="0" w:space="0" w:color="auto"/>
                              </w:divBdr>
                              <w:divsChild>
                                <w:div w:id="1302156992">
                                  <w:marLeft w:val="0"/>
                                  <w:marRight w:val="0"/>
                                  <w:marTop w:val="0"/>
                                  <w:marBottom w:val="0"/>
                                  <w:divBdr>
                                    <w:top w:val="none" w:sz="0" w:space="0" w:color="auto"/>
                                    <w:left w:val="none" w:sz="0" w:space="0" w:color="auto"/>
                                    <w:bottom w:val="none" w:sz="0" w:space="0" w:color="auto"/>
                                    <w:right w:val="none" w:sz="0" w:space="0" w:color="auto"/>
                                  </w:divBdr>
                                  <w:divsChild>
                                    <w:div w:id="1302156947">
                                      <w:marLeft w:val="0"/>
                                      <w:marRight w:val="0"/>
                                      <w:marTop w:val="0"/>
                                      <w:marBottom w:val="0"/>
                                      <w:divBdr>
                                        <w:top w:val="none" w:sz="0" w:space="0" w:color="auto"/>
                                        <w:left w:val="none" w:sz="0" w:space="0" w:color="auto"/>
                                        <w:bottom w:val="none" w:sz="0" w:space="0" w:color="auto"/>
                                        <w:right w:val="none" w:sz="0" w:space="0" w:color="auto"/>
                                      </w:divBdr>
                                    </w:div>
                                    <w:div w:id="1302157004">
                                      <w:marLeft w:val="0"/>
                                      <w:marRight w:val="0"/>
                                      <w:marTop w:val="0"/>
                                      <w:marBottom w:val="0"/>
                                      <w:divBdr>
                                        <w:top w:val="none" w:sz="0" w:space="0" w:color="auto"/>
                                        <w:left w:val="none" w:sz="0" w:space="0" w:color="auto"/>
                                        <w:bottom w:val="none" w:sz="0" w:space="0" w:color="auto"/>
                                        <w:right w:val="none" w:sz="0" w:space="0" w:color="auto"/>
                                      </w:divBdr>
                                    </w:div>
                                    <w:div w:id="1302157006">
                                      <w:marLeft w:val="0"/>
                                      <w:marRight w:val="0"/>
                                      <w:marTop w:val="0"/>
                                      <w:marBottom w:val="0"/>
                                      <w:divBdr>
                                        <w:top w:val="none" w:sz="0" w:space="0" w:color="auto"/>
                                        <w:left w:val="none" w:sz="0" w:space="0" w:color="auto"/>
                                        <w:bottom w:val="none" w:sz="0" w:space="0" w:color="auto"/>
                                        <w:right w:val="none" w:sz="0" w:space="0" w:color="auto"/>
                                      </w:divBdr>
                                    </w:div>
                                    <w:div w:id="1302157007">
                                      <w:marLeft w:val="0"/>
                                      <w:marRight w:val="0"/>
                                      <w:marTop w:val="0"/>
                                      <w:marBottom w:val="0"/>
                                      <w:divBdr>
                                        <w:top w:val="none" w:sz="0" w:space="0" w:color="auto"/>
                                        <w:left w:val="none" w:sz="0" w:space="0" w:color="auto"/>
                                        <w:bottom w:val="none" w:sz="0" w:space="0" w:color="auto"/>
                                        <w:right w:val="none" w:sz="0" w:space="0" w:color="auto"/>
                                      </w:divBdr>
                                    </w:div>
                                    <w:div w:id="1302157040">
                                      <w:marLeft w:val="0"/>
                                      <w:marRight w:val="0"/>
                                      <w:marTop w:val="0"/>
                                      <w:marBottom w:val="0"/>
                                      <w:divBdr>
                                        <w:top w:val="none" w:sz="0" w:space="0" w:color="auto"/>
                                        <w:left w:val="none" w:sz="0" w:space="0" w:color="auto"/>
                                        <w:bottom w:val="none" w:sz="0" w:space="0" w:color="auto"/>
                                        <w:right w:val="none" w:sz="0" w:space="0" w:color="auto"/>
                                      </w:divBdr>
                                    </w:div>
                                    <w:div w:id="1302157046">
                                      <w:marLeft w:val="0"/>
                                      <w:marRight w:val="0"/>
                                      <w:marTop w:val="0"/>
                                      <w:marBottom w:val="0"/>
                                      <w:divBdr>
                                        <w:top w:val="none" w:sz="0" w:space="0" w:color="auto"/>
                                        <w:left w:val="none" w:sz="0" w:space="0" w:color="auto"/>
                                        <w:bottom w:val="none" w:sz="0" w:space="0" w:color="auto"/>
                                        <w:right w:val="none" w:sz="0" w:space="0" w:color="auto"/>
                                      </w:divBdr>
                                    </w:div>
                                    <w:div w:id="1302157061">
                                      <w:marLeft w:val="0"/>
                                      <w:marRight w:val="0"/>
                                      <w:marTop w:val="0"/>
                                      <w:marBottom w:val="0"/>
                                      <w:divBdr>
                                        <w:top w:val="none" w:sz="0" w:space="0" w:color="auto"/>
                                        <w:left w:val="none" w:sz="0" w:space="0" w:color="auto"/>
                                        <w:bottom w:val="none" w:sz="0" w:space="0" w:color="auto"/>
                                        <w:right w:val="none" w:sz="0" w:space="0" w:color="auto"/>
                                      </w:divBdr>
                                    </w:div>
                                    <w:div w:id="13021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156976">
      <w:marLeft w:val="0"/>
      <w:marRight w:val="0"/>
      <w:marTop w:val="0"/>
      <w:marBottom w:val="0"/>
      <w:divBdr>
        <w:top w:val="none" w:sz="0" w:space="0" w:color="auto"/>
        <w:left w:val="none" w:sz="0" w:space="0" w:color="auto"/>
        <w:bottom w:val="none" w:sz="0" w:space="0" w:color="auto"/>
        <w:right w:val="none" w:sz="0" w:space="0" w:color="auto"/>
      </w:divBdr>
    </w:div>
    <w:div w:id="1302156978">
      <w:marLeft w:val="0"/>
      <w:marRight w:val="0"/>
      <w:marTop w:val="0"/>
      <w:marBottom w:val="0"/>
      <w:divBdr>
        <w:top w:val="none" w:sz="0" w:space="0" w:color="auto"/>
        <w:left w:val="none" w:sz="0" w:space="0" w:color="auto"/>
        <w:bottom w:val="none" w:sz="0" w:space="0" w:color="auto"/>
        <w:right w:val="none" w:sz="0" w:space="0" w:color="auto"/>
      </w:divBdr>
    </w:div>
    <w:div w:id="1302156979">
      <w:marLeft w:val="0"/>
      <w:marRight w:val="0"/>
      <w:marTop w:val="0"/>
      <w:marBottom w:val="0"/>
      <w:divBdr>
        <w:top w:val="none" w:sz="0" w:space="0" w:color="auto"/>
        <w:left w:val="none" w:sz="0" w:space="0" w:color="auto"/>
        <w:bottom w:val="none" w:sz="0" w:space="0" w:color="auto"/>
        <w:right w:val="none" w:sz="0" w:space="0" w:color="auto"/>
      </w:divBdr>
    </w:div>
    <w:div w:id="1302156980">
      <w:marLeft w:val="0"/>
      <w:marRight w:val="0"/>
      <w:marTop w:val="0"/>
      <w:marBottom w:val="0"/>
      <w:divBdr>
        <w:top w:val="none" w:sz="0" w:space="0" w:color="auto"/>
        <w:left w:val="none" w:sz="0" w:space="0" w:color="auto"/>
        <w:bottom w:val="none" w:sz="0" w:space="0" w:color="auto"/>
        <w:right w:val="none" w:sz="0" w:space="0" w:color="auto"/>
      </w:divBdr>
    </w:div>
    <w:div w:id="1302156982">
      <w:marLeft w:val="0"/>
      <w:marRight w:val="0"/>
      <w:marTop w:val="0"/>
      <w:marBottom w:val="0"/>
      <w:divBdr>
        <w:top w:val="none" w:sz="0" w:space="0" w:color="auto"/>
        <w:left w:val="none" w:sz="0" w:space="0" w:color="auto"/>
        <w:bottom w:val="none" w:sz="0" w:space="0" w:color="auto"/>
        <w:right w:val="none" w:sz="0" w:space="0" w:color="auto"/>
      </w:divBdr>
      <w:divsChild>
        <w:div w:id="1302157059">
          <w:marLeft w:val="0"/>
          <w:marRight w:val="0"/>
          <w:marTop w:val="0"/>
          <w:marBottom w:val="0"/>
          <w:divBdr>
            <w:top w:val="none" w:sz="0" w:space="0" w:color="auto"/>
            <w:left w:val="none" w:sz="0" w:space="0" w:color="auto"/>
            <w:bottom w:val="none" w:sz="0" w:space="0" w:color="auto"/>
            <w:right w:val="none" w:sz="0" w:space="0" w:color="auto"/>
          </w:divBdr>
          <w:divsChild>
            <w:div w:id="1302157047">
              <w:marLeft w:val="0"/>
              <w:marRight w:val="0"/>
              <w:marTop w:val="0"/>
              <w:marBottom w:val="0"/>
              <w:divBdr>
                <w:top w:val="none" w:sz="0" w:space="0" w:color="auto"/>
                <w:left w:val="none" w:sz="0" w:space="0" w:color="auto"/>
                <w:bottom w:val="none" w:sz="0" w:space="0" w:color="auto"/>
                <w:right w:val="none" w:sz="0" w:space="0" w:color="auto"/>
              </w:divBdr>
              <w:divsChild>
                <w:div w:id="1302156977">
                  <w:marLeft w:val="0"/>
                  <w:marRight w:val="0"/>
                  <w:marTop w:val="0"/>
                  <w:marBottom w:val="0"/>
                  <w:divBdr>
                    <w:top w:val="none" w:sz="0" w:space="0" w:color="auto"/>
                    <w:left w:val="none" w:sz="0" w:space="0" w:color="auto"/>
                    <w:bottom w:val="none" w:sz="0" w:space="0" w:color="auto"/>
                    <w:right w:val="none" w:sz="0" w:space="0" w:color="auto"/>
                  </w:divBdr>
                  <w:divsChild>
                    <w:div w:id="1302157064">
                      <w:marLeft w:val="0"/>
                      <w:marRight w:val="0"/>
                      <w:marTop w:val="0"/>
                      <w:marBottom w:val="0"/>
                      <w:divBdr>
                        <w:top w:val="none" w:sz="0" w:space="0" w:color="auto"/>
                        <w:left w:val="none" w:sz="0" w:space="0" w:color="auto"/>
                        <w:bottom w:val="none" w:sz="0" w:space="0" w:color="auto"/>
                        <w:right w:val="none" w:sz="0" w:space="0" w:color="auto"/>
                      </w:divBdr>
                      <w:divsChild>
                        <w:div w:id="1302157031">
                          <w:marLeft w:val="0"/>
                          <w:marRight w:val="0"/>
                          <w:marTop w:val="0"/>
                          <w:marBottom w:val="0"/>
                          <w:divBdr>
                            <w:top w:val="none" w:sz="0" w:space="0" w:color="auto"/>
                            <w:left w:val="none" w:sz="0" w:space="0" w:color="auto"/>
                            <w:bottom w:val="none" w:sz="0" w:space="0" w:color="auto"/>
                            <w:right w:val="none" w:sz="0" w:space="0" w:color="auto"/>
                          </w:divBdr>
                          <w:divsChild>
                            <w:div w:id="1302157002">
                              <w:marLeft w:val="0"/>
                              <w:marRight w:val="0"/>
                              <w:marTop w:val="0"/>
                              <w:marBottom w:val="0"/>
                              <w:divBdr>
                                <w:top w:val="none" w:sz="0" w:space="0" w:color="auto"/>
                                <w:left w:val="none" w:sz="0" w:space="0" w:color="auto"/>
                                <w:bottom w:val="none" w:sz="0" w:space="0" w:color="auto"/>
                                <w:right w:val="none" w:sz="0" w:space="0" w:color="auto"/>
                              </w:divBdr>
                              <w:divsChild>
                                <w:div w:id="1302156986">
                                  <w:marLeft w:val="0"/>
                                  <w:marRight w:val="0"/>
                                  <w:marTop w:val="0"/>
                                  <w:marBottom w:val="0"/>
                                  <w:divBdr>
                                    <w:top w:val="none" w:sz="0" w:space="0" w:color="auto"/>
                                    <w:left w:val="none" w:sz="0" w:space="0" w:color="auto"/>
                                    <w:bottom w:val="none" w:sz="0" w:space="0" w:color="auto"/>
                                    <w:right w:val="none" w:sz="0" w:space="0" w:color="auto"/>
                                  </w:divBdr>
                                  <w:divsChild>
                                    <w:div w:id="1302156956">
                                      <w:marLeft w:val="0"/>
                                      <w:marRight w:val="0"/>
                                      <w:marTop w:val="0"/>
                                      <w:marBottom w:val="0"/>
                                      <w:divBdr>
                                        <w:top w:val="none" w:sz="0" w:space="0" w:color="auto"/>
                                        <w:left w:val="none" w:sz="0" w:space="0" w:color="auto"/>
                                        <w:bottom w:val="none" w:sz="0" w:space="0" w:color="auto"/>
                                        <w:right w:val="none" w:sz="0" w:space="0" w:color="auto"/>
                                      </w:divBdr>
                                    </w:div>
                                    <w:div w:id="1302156999">
                                      <w:marLeft w:val="0"/>
                                      <w:marRight w:val="0"/>
                                      <w:marTop w:val="0"/>
                                      <w:marBottom w:val="0"/>
                                      <w:divBdr>
                                        <w:top w:val="none" w:sz="0" w:space="0" w:color="auto"/>
                                        <w:left w:val="none" w:sz="0" w:space="0" w:color="auto"/>
                                        <w:bottom w:val="none" w:sz="0" w:space="0" w:color="auto"/>
                                        <w:right w:val="none" w:sz="0" w:space="0" w:color="auto"/>
                                      </w:divBdr>
                                    </w:div>
                                    <w:div w:id="13021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156983">
      <w:marLeft w:val="0"/>
      <w:marRight w:val="0"/>
      <w:marTop w:val="0"/>
      <w:marBottom w:val="0"/>
      <w:divBdr>
        <w:top w:val="none" w:sz="0" w:space="0" w:color="auto"/>
        <w:left w:val="none" w:sz="0" w:space="0" w:color="auto"/>
        <w:bottom w:val="none" w:sz="0" w:space="0" w:color="auto"/>
        <w:right w:val="none" w:sz="0" w:space="0" w:color="auto"/>
      </w:divBdr>
    </w:div>
    <w:div w:id="1302156984">
      <w:marLeft w:val="0"/>
      <w:marRight w:val="0"/>
      <w:marTop w:val="0"/>
      <w:marBottom w:val="0"/>
      <w:divBdr>
        <w:top w:val="none" w:sz="0" w:space="0" w:color="auto"/>
        <w:left w:val="none" w:sz="0" w:space="0" w:color="auto"/>
        <w:bottom w:val="none" w:sz="0" w:space="0" w:color="auto"/>
        <w:right w:val="none" w:sz="0" w:space="0" w:color="auto"/>
      </w:divBdr>
    </w:div>
    <w:div w:id="1302156987">
      <w:marLeft w:val="0"/>
      <w:marRight w:val="0"/>
      <w:marTop w:val="0"/>
      <w:marBottom w:val="0"/>
      <w:divBdr>
        <w:top w:val="none" w:sz="0" w:space="0" w:color="auto"/>
        <w:left w:val="none" w:sz="0" w:space="0" w:color="auto"/>
        <w:bottom w:val="none" w:sz="0" w:space="0" w:color="auto"/>
        <w:right w:val="none" w:sz="0" w:space="0" w:color="auto"/>
      </w:divBdr>
    </w:div>
    <w:div w:id="1302156989">
      <w:marLeft w:val="0"/>
      <w:marRight w:val="0"/>
      <w:marTop w:val="0"/>
      <w:marBottom w:val="0"/>
      <w:divBdr>
        <w:top w:val="none" w:sz="0" w:space="0" w:color="auto"/>
        <w:left w:val="none" w:sz="0" w:space="0" w:color="auto"/>
        <w:bottom w:val="none" w:sz="0" w:space="0" w:color="auto"/>
        <w:right w:val="none" w:sz="0" w:space="0" w:color="auto"/>
      </w:divBdr>
    </w:div>
    <w:div w:id="1302156993">
      <w:marLeft w:val="0"/>
      <w:marRight w:val="0"/>
      <w:marTop w:val="0"/>
      <w:marBottom w:val="0"/>
      <w:divBdr>
        <w:top w:val="none" w:sz="0" w:space="0" w:color="auto"/>
        <w:left w:val="none" w:sz="0" w:space="0" w:color="auto"/>
        <w:bottom w:val="none" w:sz="0" w:space="0" w:color="auto"/>
        <w:right w:val="none" w:sz="0" w:space="0" w:color="auto"/>
      </w:divBdr>
    </w:div>
    <w:div w:id="1302156994">
      <w:marLeft w:val="0"/>
      <w:marRight w:val="0"/>
      <w:marTop w:val="0"/>
      <w:marBottom w:val="0"/>
      <w:divBdr>
        <w:top w:val="none" w:sz="0" w:space="0" w:color="auto"/>
        <w:left w:val="none" w:sz="0" w:space="0" w:color="auto"/>
        <w:bottom w:val="none" w:sz="0" w:space="0" w:color="auto"/>
        <w:right w:val="none" w:sz="0" w:space="0" w:color="auto"/>
      </w:divBdr>
    </w:div>
    <w:div w:id="1302156996">
      <w:marLeft w:val="0"/>
      <w:marRight w:val="0"/>
      <w:marTop w:val="0"/>
      <w:marBottom w:val="0"/>
      <w:divBdr>
        <w:top w:val="none" w:sz="0" w:space="0" w:color="auto"/>
        <w:left w:val="none" w:sz="0" w:space="0" w:color="auto"/>
        <w:bottom w:val="none" w:sz="0" w:space="0" w:color="auto"/>
        <w:right w:val="none" w:sz="0" w:space="0" w:color="auto"/>
      </w:divBdr>
    </w:div>
    <w:div w:id="1302156997">
      <w:marLeft w:val="0"/>
      <w:marRight w:val="0"/>
      <w:marTop w:val="0"/>
      <w:marBottom w:val="0"/>
      <w:divBdr>
        <w:top w:val="none" w:sz="0" w:space="0" w:color="auto"/>
        <w:left w:val="none" w:sz="0" w:space="0" w:color="auto"/>
        <w:bottom w:val="none" w:sz="0" w:space="0" w:color="auto"/>
        <w:right w:val="none" w:sz="0" w:space="0" w:color="auto"/>
      </w:divBdr>
    </w:div>
    <w:div w:id="1302156998">
      <w:marLeft w:val="0"/>
      <w:marRight w:val="0"/>
      <w:marTop w:val="0"/>
      <w:marBottom w:val="0"/>
      <w:divBdr>
        <w:top w:val="none" w:sz="0" w:space="0" w:color="auto"/>
        <w:left w:val="none" w:sz="0" w:space="0" w:color="auto"/>
        <w:bottom w:val="none" w:sz="0" w:space="0" w:color="auto"/>
        <w:right w:val="none" w:sz="0" w:space="0" w:color="auto"/>
      </w:divBdr>
    </w:div>
    <w:div w:id="1302157000">
      <w:marLeft w:val="0"/>
      <w:marRight w:val="0"/>
      <w:marTop w:val="0"/>
      <w:marBottom w:val="0"/>
      <w:divBdr>
        <w:top w:val="none" w:sz="0" w:space="0" w:color="auto"/>
        <w:left w:val="none" w:sz="0" w:space="0" w:color="auto"/>
        <w:bottom w:val="none" w:sz="0" w:space="0" w:color="auto"/>
        <w:right w:val="none" w:sz="0" w:space="0" w:color="auto"/>
      </w:divBdr>
    </w:div>
    <w:div w:id="1302157003">
      <w:marLeft w:val="0"/>
      <w:marRight w:val="0"/>
      <w:marTop w:val="0"/>
      <w:marBottom w:val="0"/>
      <w:divBdr>
        <w:top w:val="none" w:sz="0" w:space="0" w:color="auto"/>
        <w:left w:val="none" w:sz="0" w:space="0" w:color="auto"/>
        <w:bottom w:val="none" w:sz="0" w:space="0" w:color="auto"/>
        <w:right w:val="none" w:sz="0" w:space="0" w:color="auto"/>
      </w:divBdr>
    </w:div>
    <w:div w:id="1302157005">
      <w:marLeft w:val="0"/>
      <w:marRight w:val="0"/>
      <w:marTop w:val="0"/>
      <w:marBottom w:val="0"/>
      <w:divBdr>
        <w:top w:val="none" w:sz="0" w:space="0" w:color="auto"/>
        <w:left w:val="none" w:sz="0" w:space="0" w:color="auto"/>
        <w:bottom w:val="none" w:sz="0" w:space="0" w:color="auto"/>
        <w:right w:val="none" w:sz="0" w:space="0" w:color="auto"/>
      </w:divBdr>
    </w:div>
    <w:div w:id="1302157008">
      <w:marLeft w:val="0"/>
      <w:marRight w:val="0"/>
      <w:marTop w:val="0"/>
      <w:marBottom w:val="0"/>
      <w:divBdr>
        <w:top w:val="none" w:sz="0" w:space="0" w:color="auto"/>
        <w:left w:val="none" w:sz="0" w:space="0" w:color="auto"/>
        <w:bottom w:val="none" w:sz="0" w:space="0" w:color="auto"/>
        <w:right w:val="none" w:sz="0" w:space="0" w:color="auto"/>
      </w:divBdr>
      <w:divsChild>
        <w:div w:id="1302157001">
          <w:marLeft w:val="0"/>
          <w:marRight w:val="0"/>
          <w:marTop w:val="0"/>
          <w:marBottom w:val="0"/>
          <w:divBdr>
            <w:top w:val="none" w:sz="0" w:space="0" w:color="auto"/>
            <w:left w:val="none" w:sz="0" w:space="0" w:color="auto"/>
            <w:bottom w:val="none" w:sz="0" w:space="0" w:color="auto"/>
            <w:right w:val="none" w:sz="0" w:space="0" w:color="auto"/>
          </w:divBdr>
          <w:divsChild>
            <w:div w:id="1302157071">
              <w:marLeft w:val="0"/>
              <w:marRight w:val="0"/>
              <w:marTop w:val="0"/>
              <w:marBottom w:val="0"/>
              <w:divBdr>
                <w:top w:val="none" w:sz="0" w:space="0" w:color="auto"/>
                <w:left w:val="none" w:sz="0" w:space="0" w:color="auto"/>
                <w:bottom w:val="none" w:sz="0" w:space="0" w:color="auto"/>
                <w:right w:val="none" w:sz="0" w:space="0" w:color="auto"/>
              </w:divBdr>
              <w:divsChild>
                <w:div w:id="1302157027">
                  <w:marLeft w:val="0"/>
                  <w:marRight w:val="0"/>
                  <w:marTop w:val="0"/>
                  <w:marBottom w:val="0"/>
                  <w:divBdr>
                    <w:top w:val="none" w:sz="0" w:space="0" w:color="auto"/>
                    <w:left w:val="none" w:sz="0" w:space="0" w:color="auto"/>
                    <w:bottom w:val="none" w:sz="0" w:space="0" w:color="auto"/>
                    <w:right w:val="none" w:sz="0" w:space="0" w:color="auto"/>
                  </w:divBdr>
                  <w:divsChild>
                    <w:div w:id="1302156991">
                      <w:marLeft w:val="0"/>
                      <w:marRight w:val="0"/>
                      <w:marTop w:val="0"/>
                      <w:marBottom w:val="750"/>
                      <w:divBdr>
                        <w:top w:val="none" w:sz="0" w:space="0" w:color="auto"/>
                        <w:left w:val="none" w:sz="0" w:space="0" w:color="auto"/>
                        <w:bottom w:val="none" w:sz="0" w:space="0" w:color="auto"/>
                        <w:right w:val="none" w:sz="0" w:space="0" w:color="auto"/>
                      </w:divBdr>
                      <w:divsChild>
                        <w:div w:id="1302157042">
                          <w:marLeft w:val="0"/>
                          <w:marRight w:val="0"/>
                          <w:marTop w:val="0"/>
                          <w:marBottom w:val="0"/>
                          <w:divBdr>
                            <w:top w:val="none" w:sz="0" w:space="0" w:color="auto"/>
                            <w:left w:val="none" w:sz="0" w:space="0" w:color="auto"/>
                            <w:bottom w:val="none" w:sz="0" w:space="0" w:color="auto"/>
                            <w:right w:val="none" w:sz="0" w:space="0" w:color="auto"/>
                          </w:divBdr>
                          <w:divsChild>
                            <w:div w:id="1302157009">
                              <w:marLeft w:val="0"/>
                              <w:marRight w:val="0"/>
                              <w:marTop w:val="0"/>
                              <w:marBottom w:val="0"/>
                              <w:divBdr>
                                <w:top w:val="none" w:sz="0" w:space="0" w:color="auto"/>
                                <w:left w:val="none" w:sz="0" w:space="0" w:color="auto"/>
                                <w:bottom w:val="none" w:sz="0" w:space="0" w:color="auto"/>
                                <w:right w:val="none" w:sz="0" w:space="0" w:color="auto"/>
                              </w:divBdr>
                              <w:divsChild>
                                <w:div w:id="1302157056">
                                  <w:marLeft w:val="0"/>
                                  <w:marRight w:val="0"/>
                                  <w:marTop w:val="0"/>
                                  <w:marBottom w:val="0"/>
                                  <w:divBdr>
                                    <w:top w:val="none" w:sz="0" w:space="0" w:color="auto"/>
                                    <w:left w:val="none" w:sz="0" w:space="0" w:color="auto"/>
                                    <w:bottom w:val="none" w:sz="0" w:space="0" w:color="auto"/>
                                    <w:right w:val="none" w:sz="0" w:space="0" w:color="auto"/>
                                  </w:divBdr>
                                  <w:divsChild>
                                    <w:div w:id="1302156981">
                                      <w:marLeft w:val="0"/>
                                      <w:marRight w:val="0"/>
                                      <w:marTop w:val="0"/>
                                      <w:marBottom w:val="0"/>
                                      <w:divBdr>
                                        <w:top w:val="none" w:sz="0" w:space="0" w:color="auto"/>
                                        <w:left w:val="none" w:sz="0" w:space="0" w:color="auto"/>
                                        <w:bottom w:val="none" w:sz="0" w:space="0" w:color="auto"/>
                                        <w:right w:val="none" w:sz="0" w:space="0" w:color="auto"/>
                                      </w:divBdr>
                                      <w:divsChild>
                                        <w:div w:id="1302157012">
                                          <w:marLeft w:val="0"/>
                                          <w:marRight w:val="0"/>
                                          <w:marTop w:val="150"/>
                                          <w:marBottom w:val="0"/>
                                          <w:divBdr>
                                            <w:top w:val="none" w:sz="0" w:space="0" w:color="auto"/>
                                            <w:left w:val="none" w:sz="0" w:space="0" w:color="auto"/>
                                            <w:bottom w:val="none" w:sz="0" w:space="0" w:color="auto"/>
                                            <w:right w:val="none" w:sz="0" w:space="0" w:color="auto"/>
                                          </w:divBdr>
                                          <w:divsChild>
                                            <w:div w:id="1302157026">
                                              <w:marLeft w:val="0"/>
                                              <w:marRight w:val="0"/>
                                              <w:marTop w:val="0"/>
                                              <w:marBottom w:val="0"/>
                                              <w:divBdr>
                                                <w:top w:val="none" w:sz="0" w:space="0" w:color="auto"/>
                                                <w:left w:val="none" w:sz="0" w:space="0" w:color="auto"/>
                                                <w:bottom w:val="none" w:sz="0" w:space="0" w:color="auto"/>
                                                <w:right w:val="none" w:sz="0" w:space="0" w:color="auto"/>
                                              </w:divBdr>
                                              <w:divsChild>
                                                <w:div w:id="1302157052">
                                                  <w:marLeft w:val="0"/>
                                                  <w:marRight w:val="0"/>
                                                  <w:marTop w:val="0"/>
                                                  <w:marBottom w:val="0"/>
                                                  <w:divBdr>
                                                    <w:top w:val="none" w:sz="0" w:space="0" w:color="auto"/>
                                                    <w:left w:val="none" w:sz="0" w:space="0" w:color="auto"/>
                                                    <w:bottom w:val="none" w:sz="0" w:space="0" w:color="auto"/>
                                                    <w:right w:val="none" w:sz="0" w:space="0" w:color="auto"/>
                                                  </w:divBdr>
                                                  <w:divsChild>
                                                    <w:div w:id="1302157076">
                                                      <w:marLeft w:val="0"/>
                                                      <w:marRight w:val="0"/>
                                                      <w:marTop w:val="0"/>
                                                      <w:marBottom w:val="0"/>
                                                      <w:divBdr>
                                                        <w:top w:val="none" w:sz="0" w:space="0" w:color="auto"/>
                                                        <w:left w:val="none" w:sz="0" w:space="0" w:color="auto"/>
                                                        <w:bottom w:val="none" w:sz="0" w:space="0" w:color="auto"/>
                                                        <w:right w:val="none" w:sz="0" w:space="0" w:color="auto"/>
                                                      </w:divBdr>
                                                      <w:divsChild>
                                                        <w:div w:id="1302157021">
                                                          <w:marLeft w:val="0"/>
                                                          <w:marRight w:val="0"/>
                                                          <w:marTop w:val="0"/>
                                                          <w:marBottom w:val="0"/>
                                                          <w:divBdr>
                                                            <w:top w:val="none" w:sz="0" w:space="0" w:color="auto"/>
                                                            <w:left w:val="none" w:sz="0" w:space="0" w:color="auto"/>
                                                            <w:bottom w:val="none" w:sz="0" w:space="0" w:color="auto"/>
                                                            <w:right w:val="none" w:sz="0" w:space="0" w:color="auto"/>
                                                          </w:divBdr>
                                                          <w:divsChild>
                                                            <w:div w:id="1302156990">
                                                              <w:marLeft w:val="0"/>
                                                              <w:marRight w:val="0"/>
                                                              <w:marTop w:val="150"/>
                                                              <w:marBottom w:val="0"/>
                                                              <w:divBdr>
                                                                <w:top w:val="none" w:sz="0" w:space="0" w:color="auto"/>
                                                                <w:left w:val="none" w:sz="0" w:space="0" w:color="auto"/>
                                                                <w:bottom w:val="none" w:sz="0" w:space="0" w:color="auto"/>
                                                                <w:right w:val="none" w:sz="0" w:space="0" w:color="auto"/>
                                                              </w:divBdr>
                                                              <w:divsChild>
                                                                <w:div w:id="1302157037">
                                                                  <w:marLeft w:val="0"/>
                                                                  <w:marRight w:val="0"/>
                                                                  <w:marTop w:val="0"/>
                                                                  <w:marBottom w:val="0"/>
                                                                  <w:divBdr>
                                                                    <w:top w:val="none" w:sz="0" w:space="0" w:color="auto"/>
                                                                    <w:left w:val="none" w:sz="0" w:space="0" w:color="auto"/>
                                                                    <w:bottom w:val="none" w:sz="0" w:space="0" w:color="auto"/>
                                                                    <w:right w:val="none" w:sz="0" w:space="0" w:color="auto"/>
                                                                  </w:divBdr>
                                                                  <w:divsChild>
                                                                    <w:div w:id="1302156985">
                                                                      <w:marLeft w:val="0"/>
                                                                      <w:marRight w:val="0"/>
                                                                      <w:marTop w:val="0"/>
                                                                      <w:marBottom w:val="0"/>
                                                                      <w:divBdr>
                                                                        <w:top w:val="none" w:sz="0" w:space="0" w:color="auto"/>
                                                                        <w:left w:val="none" w:sz="0" w:space="0" w:color="auto"/>
                                                                        <w:bottom w:val="none" w:sz="0" w:space="0" w:color="auto"/>
                                                                        <w:right w:val="none" w:sz="0" w:space="0" w:color="auto"/>
                                                                      </w:divBdr>
                                                                      <w:divsChild>
                                                                        <w:div w:id="13021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157010">
      <w:marLeft w:val="0"/>
      <w:marRight w:val="0"/>
      <w:marTop w:val="0"/>
      <w:marBottom w:val="0"/>
      <w:divBdr>
        <w:top w:val="none" w:sz="0" w:space="0" w:color="auto"/>
        <w:left w:val="none" w:sz="0" w:space="0" w:color="auto"/>
        <w:bottom w:val="none" w:sz="0" w:space="0" w:color="auto"/>
        <w:right w:val="none" w:sz="0" w:space="0" w:color="auto"/>
      </w:divBdr>
    </w:div>
    <w:div w:id="1302157011">
      <w:marLeft w:val="0"/>
      <w:marRight w:val="0"/>
      <w:marTop w:val="0"/>
      <w:marBottom w:val="0"/>
      <w:divBdr>
        <w:top w:val="none" w:sz="0" w:space="0" w:color="auto"/>
        <w:left w:val="none" w:sz="0" w:space="0" w:color="auto"/>
        <w:bottom w:val="none" w:sz="0" w:space="0" w:color="auto"/>
        <w:right w:val="none" w:sz="0" w:space="0" w:color="auto"/>
      </w:divBdr>
    </w:div>
    <w:div w:id="1302157013">
      <w:marLeft w:val="0"/>
      <w:marRight w:val="0"/>
      <w:marTop w:val="0"/>
      <w:marBottom w:val="0"/>
      <w:divBdr>
        <w:top w:val="none" w:sz="0" w:space="0" w:color="auto"/>
        <w:left w:val="none" w:sz="0" w:space="0" w:color="auto"/>
        <w:bottom w:val="none" w:sz="0" w:space="0" w:color="auto"/>
        <w:right w:val="none" w:sz="0" w:space="0" w:color="auto"/>
      </w:divBdr>
    </w:div>
    <w:div w:id="1302157014">
      <w:marLeft w:val="0"/>
      <w:marRight w:val="0"/>
      <w:marTop w:val="0"/>
      <w:marBottom w:val="0"/>
      <w:divBdr>
        <w:top w:val="none" w:sz="0" w:space="0" w:color="auto"/>
        <w:left w:val="none" w:sz="0" w:space="0" w:color="auto"/>
        <w:bottom w:val="none" w:sz="0" w:space="0" w:color="auto"/>
        <w:right w:val="none" w:sz="0" w:space="0" w:color="auto"/>
      </w:divBdr>
      <w:divsChild>
        <w:div w:id="1302157028">
          <w:marLeft w:val="0"/>
          <w:marRight w:val="0"/>
          <w:marTop w:val="0"/>
          <w:marBottom w:val="0"/>
          <w:divBdr>
            <w:top w:val="none" w:sz="0" w:space="0" w:color="auto"/>
            <w:left w:val="none" w:sz="0" w:space="0" w:color="auto"/>
            <w:bottom w:val="none" w:sz="0" w:space="0" w:color="auto"/>
            <w:right w:val="none" w:sz="0" w:space="0" w:color="auto"/>
          </w:divBdr>
          <w:divsChild>
            <w:div w:id="1302157049">
              <w:marLeft w:val="0"/>
              <w:marRight w:val="0"/>
              <w:marTop w:val="0"/>
              <w:marBottom w:val="0"/>
              <w:divBdr>
                <w:top w:val="none" w:sz="0" w:space="0" w:color="auto"/>
                <w:left w:val="none" w:sz="0" w:space="0" w:color="auto"/>
                <w:bottom w:val="none" w:sz="0" w:space="0" w:color="auto"/>
                <w:right w:val="none" w:sz="0" w:space="0" w:color="auto"/>
              </w:divBdr>
              <w:divsChild>
                <w:div w:id="1302156960">
                  <w:marLeft w:val="0"/>
                  <w:marRight w:val="0"/>
                  <w:marTop w:val="0"/>
                  <w:marBottom w:val="0"/>
                  <w:divBdr>
                    <w:top w:val="none" w:sz="0" w:space="0" w:color="auto"/>
                    <w:left w:val="none" w:sz="0" w:space="0" w:color="auto"/>
                    <w:bottom w:val="none" w:sz="0" w:space="0" w:color="auto"/>
                    <w:right w:val="none" w:sz="0" w:space="0" w:color="auto"/>
                  </w:divBdr>
                </w:div>
                <w:div w:id="1302157018">
                  <w:marLeft w:val="0"/>
                  <w:marRight w:val="0"/>
                  <w:marTop w:val="0"/>
                  <w:marBottom w:val="0"/>
                  <w:divBdr>
                    <w:top w:val="none" w:sz="0" w:space="0" w:color="auto"/>
                    <w:left w:val="none" w:sz="0" w:space="0" w:color="auto"/>
                    <w:bottom w:val="none" w:sz="0" w:space="0" w:color="auto"/>
                    <w:right w:val="none" w:sz="0" w:space="0" w:color="auto"/>
                  </w:divBdr>
                  <w:divsChild>
                    <w:div w:id="13021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7015">
      <w:marLeft w:val="0"/>
      <w:marRight w:val="0"/>
      <w:marTop w:val="0"/>
      <w:marBottom w:val="0"/>
      <w:divBdr>
        <w:top w:val="none" w:sz="0" w:space="0" w:color="auto"/>
        <w:left w:val="none" w:sz="0" w:space="0" w:color="auto"/>
        <w:bottom w:val="none" w:sz="0" w:space="0" w:color="auto"/>
        <w:right w:val="none" w:sz="0" w:space="0" w:color="auto"/>
      </w:divBdr>
    </w:div>
    <w:div w:id="1302157016">
      <w:marLeft w:val="0"/>
      <w:marRight w:val="0"/>
      <w:marTop w:val="0"/>
      <w:marBottom w:val="0"/>
      <w:divBdr>
        <w:top w:val="none" w:sz="0" w:space="0" w:color="auto"/>
        <w:left w:val="none" w:sz="0" w:space="0" w:color="auto"/>
        <w:bottom w:val="none" w:sz="0" w:space="0" w:color="auto"/>
        <w:right w:val="none" w:sz="0" w:space="0" w:color="auto"/>
      </w:divBdr>
    </w:div>
    <w:div w:id="1302157017">
      <w:marLeft w:val="0"/>
      <w:marRight w:val="0"/>
      <w:marTop w:val="0"/>
      <w:marBottom w:val="0"/>
      <w:divBdr>
        <w:top w:val="none" w:sz="0" w:space="0" w:color="auto"/>
        <w:left w:val="none" w:sz="0" w:space="0" w:color="auto"/>
        <w:bottom w:val="none" w:sz="0" w:space="0" w:color="auto"/>
        <w:right w:val="none" w:sz="0" w:space="0" w:color="auto"/>
      </w:divBdr>
    </w:div>
    <w:div w:id="1302157019">
      <w:marLeft w:val="0"/>
      <w:marRight w:val="0"/>
      <w:marTop w:val="0"/>
      <w:marBottom w:val="0"/>
      <w:divBdr>
        <w:top w:val="none" w:sz="0" w:space="0" w:color="auto"/>
        <w:left w:val="none" w:sz="0" w:space="0" w:color="auto"/>
        <w:bottom w:val="none" w:sz="0" w:space="0" w:color="auto"/>
        <w:right w:val="none" w:sz="0" w:space="0" w:color="auto"/>
      </w:divBdr>
    </w:div>
    <w:div w:id="1302157020">
      <w:marLeft w:val="0"/>
      <w:marRight w:val="0"/>
      <w:marTop w:val="0"/>
      <w:marBottom w:val="0"/>
      <w:divBdr>
        <w:top w:val="none" w:sz="0" w:space="0" w:color="auto"/>
        <w:left w:val="none" w:sz="0" w:space="0" w:color="auto"/>
        <w:bottom w:val="none" w:sz="0" w:space="0" w:color="auto"/>
        <w:right w:val="none" w:sz="0" w:space="0" w:color="auto"/>
      </w:divBdr>
    </w:div>
    <w:div w:id="1302157022">
      <w:marLeft w:val="0"/>
      <w:marRight w:val="0"/>
      <w:marTop w:val="0"/>
      <w:marBottom w:val="0"/>
      <w:divBdr>
        <w:top w:val="none" w:sz="0" w:space="0" w:color="auto"/>
        <w:left w:val="none" w:sz="0" w:space="0" w:color="auto"/>
        <w:bottom w:val="none" w:sz="0" w:space="0" w:color="auto"/>
        <w:right w:val="none" w:sz="0" w:space="0" w:color="auto"/>
      </w:divBdr>
    </w:div>
    <w:div w:id="1302157023">
      <w:marLeft w:val="0"/>
      <w:marRight w:val="0"/>
      <w:marTop w:val="0"/>
      <w:marBottom w:val="0"/>
      <w:divBdr>
        <w:top w:val="none" w:sz="0" w:space="0" w:color="auto"/>
        <w:left w:val="none" w:sz="0" w:space="0" w:color="auto"/>
        <w:bottom w:val="none" w:sz="0" w:space="0" w:color="auto"/>
        <w:right w:val="none" w:sz="0" w:space="0" w:color="auto"/>
      </w:divBdr>
    </w:div>
    <w:div w:id="1302157024">
      <w:marLeft w:val="0"/>
      <w:marRight w:val="0"/>
      <w:marTop w:val="0"/>
      <w:marBottom w:val="0"/>
      <w:divBdr>
        <w:top w:val="none" w:sz="0" w:space="0" w:color="auto"/>
        <w:left w:val="none" w:sz="0" w:space="0" w:color="auto"/>
        <w:bottom w:val="none" w:sz="0" w:space="0" w:color="auto"/>
        <w:right w:val="none" w:sz="0" w:space="0" w:color="auto"/>
      </w:divBdr>
    </w:div>
    <w:div w:id="1302157025">
      <w:marLeft w:val="0"/>
      <w:marRight w:val="0"/>
      <w:marTop w:val="0"/>
      <w:marBottom w:val="0"/>
      <w:divBdr>
        <w:top w:val="none" w:sz="0" w:space="0" w:color="auto"/>
        <w:left w:val="none" w:sz="0" w:space="0" w:color="auto"/>
        <w:bottom w:val="none" w:sz="0" w:space="0" w:color="auto"/>
        <w:right w:val="none" w:sz="0" w:space="0" w:color="auto"/>
      </w:divBdr>
    </w:div>
    <w:div w:id="1302157029">
      <w:marLeft w:val="0"/>
      <w:marRight w:val="0"/>
      <w:marTop w:val="0"/>
      <w:marBottom w:val="0"/>
      <w:divBdr>
        <w:top w:val="none" w:sz="0" w:space="0" w:color="auto"/>
        <w:left w:val="none" w:sz="0" w:space="0" w:color="auto"/>
        <w:bottom w:val="none" w:sz="0" w:space="0" w:color="auto"/>
        <w:right w:val="none" w:sz="0" w:space="0" w:color="auto"/>
      </w:divBdr>
    </w:div>
    <w:div w:id="1302157030">
      <w:marLeft w:val="0"/>
      <w:marRight w:val="0"/>
      <w:marTop w:val="0"/>
      <w:marBottom w:val="0"/>
      <w:divBdr>
        <w:top w:val="none" w:sz="0" w:space="0" w:color="auto"/>
        <w:left w:val="none" w:sz="0" w:space="0" w:color="auto"/>
        <w:bottom w:val="none" w:sz="0" w:space="0" w:color="auto"/>
        <w:right w:val="none" w:sz="0" w:space="0" w:color="auto"/>
      </w:divBdr>
    </w:div>
    <w:div w:id="1302157032">
      <w:marLeft w:val="0"/>
      <w:marRight w:val="0"/>
      <w:marTop w:val="0"/>
      <w:marBottom w:val="0"/>
      <w:divBdr>
        <w:top w:val="none" w:sz="0" w:space="0" w:color="auto"/>
        <w:left w:val="none" w:sz="0" w:space="0" w:color="auto"/>
        <w:bottom w:val="none" w:sz="0" w:space="0" w:color="auto"/>
        <w:right w:val="none" w:sz="0" w:space="0" w:color="auto"/>
      </w:divBdr>
    </w:div>
    <w:div w:id="1302157033">
      <w:marLeft w:val="0"/>
      <w:marRight w:val="0"/>
      <w:marTop w:val="0"/>
      <w:marBottom w:val="0"/>
      <w:divBdr>
        <w:top w:val="none" w:sz="0" w:space="0" w:color="auto"/>
        <w:left w:val="none" w:sz="0" w:space="0" w:color="auto"/>
        <w:bottom w:val="none" w:sz="0" w:space="0" w:color="auto"/>
        <w:right w:val="none" w:sz="0" w:space="0" w:color="auto"/>
      </w:divBdr>
    </w:div>
    <w:div w:id="1302157034">
      <w:marLeft w:val="0"/>
      <w:marRight w:val="0"/>
      <w:marTop w:val="0"/>
      <w:marBottom w:val="0"/>
      <w:divBdr>
        <w:top w:val="none" w:sz="0" w:space="0" w:color="auto"/>
        <w:left w:val="none" w:sz="0" w:space="0" w:color="auto"/>
        <w:bottom w:val="none" w:sz="0" w:space="0" w:color="auto"/>
        <w:right w:val="none" w:sz="0" w:space="0" w:color="auto"/>
      </w:divBdr>
    </w:div>
    <w:div w:id="1302157035">
      <w:marLeft w:val="0"/>
      <w:marRight w:val="0"/>
      <w:marTop w:val="0"/>
      <w:marBottom w:val="0"/>
      <w:divBdr>
        <w:top w:val="none" w:sz="0" w:space="0" w:color="auto"/>
        <w:left w:val="none" w:sz="0" w:space="0" w:color="auto"/>
        <w:bottom w:val="none" w:sz="0" w:space="0" w:color="auto"/>
        <w:right w:val="none" w:sz="0" w:space="0" w:color="auto"/>
      </w:divBdr>
    </w:div>
    <w:div w:id="1302157036">
      <w:marLeft w:val="0"/>
      <w:marRight w:val="0"/>
      <w:marTop w:val="0"/>
      <w:marBottom w:val="0"/>
      <w:divBdr>
        <w:top w:val="none" w:sz="0" w:space="0" w:color="auto"/>
        <w:left w:val="none" w:sz="0" w:space="0" w:color="auto"/>
        <w:bottom w:val="none" w:sz="0" w:space="0" w:color="auto"/>
        <w:right w:val="none" w:sz="0" w:space="0" w:color="auto"/>
      </w:divBdr>
    </w:div>
    <w:div w:id="1302157038">
      <w:marLeft w:val="0"/>
      <w:marRight w:val="0"/>
      <w:marTop w:val="0"/>
      <w:marBottom w:val="0"/>
      <w:divBdr>
        <w:top w:val="none" w:sz="0" w:space="0" w:color="auto"/>
        <w:left w:val="none" w:sz="0" w:space="0" w:color="auto"/>
        <w:bottom w:val="none" w:sz="0" w:space="0" w:color="auto"/>
        <w:right w:val="none" w:sz="0" w:space="0" w:color="auto"/>
      </w:divBdr>
    </w:div>
    <w:div w:id="1302157039">
      <w:marLeft w:val="0"/>
      <w:marRight w:val="0"/>
      <w:marTop w:val="0"/>
      <w:marBottom w:val="0"/>
      <w:divBdr>
        <w:top w:val="none" w:sz="0" w:space="0" w:color="auto"/>
        <w:left w:val="none" w:sz="0" w:space="0" w:color="auto"/>
        <w:bottom w:val="none" w:sz="0" w:space="0" w:color="auto"/>
        <w:right w:val="none" w:sz="0" w:space="0" w:color="auto"/>
      </w:divBdr>
    </w:div>
    <w:div w:id="1302157041">
      <w:marLeft w:val="0"/>
      <w:marRight w:val="0"/>
      <w:marTop w:val="0"/>
      <w:marBottom w:val="0"/>
      <w:divBdr>
        <w:top w:val="none" w:sz="0" w:space="0" w:color="auto"/>
        <w:left w:val="none" w:sz="0" w:space="0" w:color="auto"/>
        <w:bottom w:val="none" w:sz="0" w:space="0" w:color="auto"/>
        <w:right w:val="none" w:sz="0" w:space="0" w:color="auto"/>
      </w:divBdr>
    </w:div>
    <w:div w:id="1302157045">
      <w:marLeft w:val="0"/>
      <w:marRight w:val="0"/>
      <w:marTop w:val="0"/>
      <w:marBottom w:val="0"/>
      <w:divBdr>
        <w:top w:val="none" w:sz="0" w:space="0" w:color="auto"/>
        <w:left w:val="none" w:sz="0" w:space="0" w:color="auto"/>
        <w:bottom w:val="none" w:sz="0" w:space="0" w:color="auto"/>
        <w:right w:val="none" w:sz="0" w:space="0" w:color="auto"/>
      </w:divBdr>
    </w:div>
    <w:div w:id="1302157048">
      <w:marLeft w:val="0"/>
      <w:marRight w:val="0"/>
      <w:marTop w:val="0"/>
      <w:marBottom w:val="0"/>
      <w:divBdr>
        <w:top w:val="none" w:sz="0" w:space="0" w:color="auto"/>
        <w:left w:val="none" w:sz="0" w:space="0" w:color="auto"/>
        <w:bottom w:val="none" w:sz="0" w:space="0" w:color="auto"/>
        <w:right w:val="none" w:sz="0" w:space="0" w:color="auto"/>
      </w:divBdr>
    </w:div>
    <w:div w:id="1302157050">
      <w:marLeft w:val="0"/>
      <w:marRight w:val="0"/>
      <w:marTop w:val="0"/>
      <w:marBottom w:val="0"/>
      <w:divBdr>
        <w:top w:val="none" w:sz="0" w:space="0" w:color="auto"/>
        <w:left w:val="none" w:sz="0" w:space="0" w:color="auto"/>
        <w:bottom w:val="none" w:sz="0" w:space="0" w:color="auto"/>
        <w:right w:val="none" w:sz="0" w:space="0" w:color="auto"/>
      </w:divBdr>
    </w:div>
    <w:div w:id="1302157051">
      <w:marLeft w:val="0"/>
      <w:marRight w:val="0"/>
      <w:marTop w:val="0"/>
      <w:marBottom w:val="0"/>
      <w:divBdr>
        <w:top w:val="none" w:sz="0" w:space="0" w:color="auto"/>
        <w:left w:val="none" w:sz="0" w:space="0" w:color="auto"/>
        <w:bottom w:val="none" w:sz="0" w:space="0" w:color="auto"/>
        <w:right w:val="none" w:sz="0" w:space="0" w:color="auto"/>
      </w:divBdr>
    </w:div>
    <w:div w:id="1302157053">
      <w:marLeft w:val="0"/>
      <w:marRight w:val="0"/>
      <w:marTop w:val="0"/>
      <w:marBottom w:val="0"/>
      <w:divBdr>
        <w:top w:val="none" w:sz="0" w:space="0" w:color="auto"/>
        <w:left w:val="none" w:sz="0" w:space="0" w:color="auto"/>
        <w:bottom w:val="none" w:sz="0" w:space="0" w:color="auto"/>
        <w:right w:val="none" w:sz="0" w:space="0" w:color="auto"/>
      </w:divBdr>
    </w:div>
    <w:div w:id="1302157054">
      <w:marLeft w:val="0"/>
      <w:marRight w:val="0"/>
      <w:marTop w:val="0"/>
      <w:marBottom w:val="0"/>
      <w:divBdr>
        <w:top w:val="none" w:sz="0" w:space="0" w:color="auto"/>
        <w:left w:val="none" w:sz="0" w:space="0" w:color="auto"/>
        <w:bottom w:val="none" w:sz="0" w:space="0" w:color="auto"/>
        <w:right w:val="none" w:sz="0" w:space="0" w:color="auto"/>
      </w:divBdr>
    </w:div>
    <w:div w:id="1302157055">
      <w:marLeft w:val="0"/>
      <w:marRight w:val="0"/>
      <w:marTop w:val="0"/>
      <w:marBottom w:val="0"/>
      <w:divBdr>
        <w:top w:val="none" w:sz="0" w:space="0" w:color="auto"/>
        <w:left w:val="none" w:sz="0" w:space="0" w:color="auto"/>
        <w:bottom w:val="none" w:sz="0" w:space="0" w:color="auto"/>
        <w:right w:val="none" w:sz="0" w:space="0" w:color="auto"/>
      </w:divBdr>
    </w:div>
    <w:div w:id="1302157058">
      <w:marLeft w:val="0"/>
      <w:marRight w:val="0"/>
      <w:marTop w:val="0"/>
      <w:marBottom w:val="0"/>
      <w:divBdr>
        <w:top w:val="none" w:sz="0" w:space="0" w:color="auto"/>
        <w:left w:val="none" w:sz="0" w:space="0" w:color="auto"/>
        <w:bottom w:val="none" w:sz="0" w:space="0" w:color="auto"/>
        <w:right w:val="none" w:sz="0" w:space="0" w:color="auto"/>
      </w:divBdr>
    </w:div>
    <w:div w:id="1302157062">
      <w:marLeft w:val="0"/>
      <w:marRight w:val="0"/>
      <w:marTop w:val="0"/>
      <w:marBottom w:val="0"/>
      <w:divBdr>
        <w:top w:val="none" w:sz="0" w:space="0" w:color="auto"/>
        <w:left w:val="none" w:sz="0" w:space="0" w:color="auto"/>
        <w:bottom w:val="none" w:sz="0" w:space="0" w:color="auto"/>
        <w:right w:val="none" w:sz="0" w:space="0" w:color="auto"/>
      </w:divBdr>
    </w:div>
    <w:div w:id="1302157063">
      <w:marLeft w:val="0"/>
      <w:marRight w:val="0"/>
      <w:marTop w:val="0"/>
      <w:marBottom w:val="0"/>
      <w:divBdr>
        <w:top w:val="none" w:sz="0" w:space="0" w:color="auto"/>
        <w:left w:val="none" w:sz="0" w:space="0" w:color="auto"/>
        <w:bottom w:val="none" w:sz="0" w:space="0" w:color="auto"/>
        <w:right w:val="none" w:sz="0" w:space="0" w:color="auto"/>
      </w:divBdr>
    </w:div>
    <w:div w:id="1302157065">
      <w:marLeft w:val="0"/>
      <w:marRight w:val="0"/>
      <w:marTop w:val="0"/>
      <w:marBottom w:val="0"/>
      <w:divBdr>
        <w:top w:val="none" w:sz="0" w:space="0" w:color="auto"/>
        <w:left w:val="none" w:sz="0" w:space="0" w:color="auto"/>
        <w:bottom w:val="none" w:sz="0" w:space="0" w:color="auto"/>
        <w:right w:val="none" w:sz="0" w:space="0" w:color="auto"/>
      </w:divBdr>
    </w:div>
    <w:div w:id="1302157067">
      <w:marLeft w:val="0"/>
      <w:marRight w:val="0"/>
      <w:marTop w:val="0"/>
      <w:marBottom w:val="0"/>
      <w:divBdr>
        <w:top w:val="none" w:sz="0" w:space="0" w:color="auto"/>
        <w:left w:val="none" w:sz="0" w:space="0" w:color="auto"/>
        <w:bottom w:val="none" w:sz="0" w:space="0" w:color="auto"/>
        <w:right w:val="none" w:sz="0" w:space="0" w:color="auto"/>
      </w:divBdr>
    </w:div>
    <w:div w:id="1302157068">
      <w:marLeft w:val="0"/>
      <w:marRight w:val="0"/>
      <w:marTop w:val="0"/>
      <w:marBottom w:val="0"/>
      <w:divBdr>
        <w:top w:val="none" w:sz="0" w:space="0" w:color="auto"/>
        <w:left w:val="none" w:sz="0" w:space="0" w:color="auto"/>
        <w:bottom w:val="none" w:sz="0" w:space="0" w:color="auto"/>
        <w:right w:val="none" w:sz="0" w:space="0" w:color="auto"/>
      </w:divBdr>
    </w:div>
    <w:div w:id="1302157070">
      <w:marLeft w:val="0"/>
      <w:marRight w:val="0"/>
      <w:marTop w:val="0"/>
      <w:marBottom w:val="0"/>
      <w:divBdr>
        <w:top w:val="none" w:sz="0" w:space="0" w:color="auto"/>
        <w:left w:val="none" w:sz="0" w:space="0" w:color="auto"/>
        <w:bottom w:val="none" w:sz="0" w:space="0" w:color="auto"/>
        <w:right w:val="none" w:sz="0" w:space="0" w:color="auto"/>
      </w:divBdr>
    </w:div>
    <w:div w:id="1302157072">
      <w:marLeft w:val="0"/>
      <w:marRight w:val="0"/>
      <w:marTop w:val="0"/>
      <w:marBottom w:val="0"/>
      <w:divBdr>
        <w:top w:val="none" w:sz="0" w:space="0" w:color="auto"/>
        <w:left w:val="none" w:sz="0" w:space="0" w:color="auto"/>
        <w:bottom w:val="none" w:sz="0" w:space="0" w:color="auto"/>
        <w:right w:val="none" w:sz="0" w:space="0" w:color="auto"/>
      </w:divBdr>
      <w:divsChild>
        <w:div w:id="1302157060">
          <w:marLeft w:val="0"/>
          <w:marRight w:val="0"/>
          <w:marTop w:val="0"/>
          <w:marBottom w:val="0"/>
          <w:divBdr>
            <w:top w:val="none" w:sz="0" w:space="0" w:color="auto"/>
            <w:left w:val="none" w:sz="0" w:space="0" w:color="auto"/>
            <w:bottom w:val="none" w:sz="0" w:space="0" w:color="auto"/>
            <w:right w:val="none" w:sz="0" w:space="0" w:color="auto"/>
          </w:divBdr>
          <w:divsChild>
            <w:div w:id="1302156946">
              <w:marLeft w:val="0"/>
              <w:marRight w:val="0"/>
              <w:marTop w:val="0"/>
              <w:marBottom w:val="0"/>
              <w:divBdr>
                <w:top w:val="none" w:sz="0" w:space="0" w:color="auto"/>
                <w:left w:val="none" w:sz="0" w:space="0" w:color="auto"/>
                <w:bottom w:val="none" w:sz="0" w:space="0" w:color="auto"/>
                <w:right w:val="none" w:sz="0" w:space="0" w:color="auto"/>
              </w:divBdr>
              <w:divsChild>
                <w:div w:id="1302156988">
                  <w:marLeft w:val="0"/>
                  <w:marRight w:val="0"/>
                  <w:marTop w:val="100"/>
                  <w:marBottom w:val="100"/>
                  <w:divBdr>
                    <w:top w:val="none" w:sz="0" w:space="0" w:color="auto"/>
                    <w:left w:val="none" w:sz="0" w:space="0" w:color="auto"/>
                    <w:bottom w:val="none" w:sz="0" w:space="0" w:color="auto"/>
                    <w:right w:val="none" w:sz="0" w:space="0" w:color="auto"/>
                  </w:divBdr>
                  <w:divsChild>
                    <w:div w:id="1302157043">
                      <w:marLeft w:val="0"/>
                      <w:marRight w:val="0"/>
                      <w:marTop w:val="0"/>
                      <w:marBottom w:val="0"/>
                      <w:divBdr>
                        <w:top w:val="none" w:sz="0" w:space="0" w:color="auto"/>
                        <w:left w:val="none" w:sz="0" w:space="0" w:color="auto"/>
                        <w:bottom w:val="none" w:sz="0" w:space="0" w:color="auto"/>
                        <w:right w:val="none" w:sz="0" w:space="0" w:color="auto"/>
                      </w:divBdr>
                      <w:divsChild>
                        <w:div w:id="1302156953">
                          <w:marLeft w:val="0"/>
                          <w:marRight w:val="0"/>
                          <w:marTop w:val="0"/>
                          <w:marBottom w:val="0"/>
                          <w:divBdr>
                            <w:top w:val="none" w:sz="0" w:space="0" w:color="auto"/>
                            <w:left w:val="none" w:sz="0" w:space="0" w:color="auto"/>
                            <w:bottom w:val="none" w:sz="0" w:space="0" w:color="auto"/>
                            <w:right w:val="none" w:sz="0" w:space="0" w:color="auto"/>
                          </w:divBdr>
                          <w:divsChild>
                            <w:div w:id="1302157069">
                              <w:marLeft w:val="0"/>
                              <w:marRight w:val="0"/>
                              <w:marTop w:val="0"/>
                              <w:marBottom w:val="0"/>
                              <w:divBdr>
                                <w:top w:val="none" w:sz="0" w:space="0" w:color="auto"/>
                                <w:left w:val="none" w:sz="0" w:space="0" w:color="auto"/>
                                <w:bottom w:val="none" w:sz="0" w:space="0" w:color="auto"/>
                                <w:right w:val="none" w:sz="0" w:space="0" w:color="auto"/>
                              </w:divBdr>
                              <w:divsChild>
                                <w:div w:id="13021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157073">
      <w:marLeft w:val="0"/>
      <w:marRight w:val="0"/>
      <w:marTop w:val="0"/>
      <w:marBottom w:val="0"/>
      <w:divBdr>
        <w:top w:val="none" w:sz="0" w:space="0" w:color="auto"/>
        <w:left w:val="none" w:sz="0" w:space="0" w:color="auto"/>
        <w:bottom w:val="none" w:sz="0" w:space="0" w:color="auto"/>
        <w:right w:val="none" w:sz="0" w:space="0" w:color="auto"/>
      </w:divBdr>
    </w:div>
    <w:div w:id="1302157074">
      <w:marLeft w:val="0"/>
      <w:marRight w:val="0"/>
      <w:marTop w:val="0"/>
      <w:marBottom w:val="0"/>
      <w:divBdr>
        <w:top w:val="none" w:sz="0" w:space="0" w:color="auto"/>
        <w:left w:val="none" w:sz="0" w:space="0" w:color="auto"/>
        <w:bottom w:val="none" w:sz="0" w:space="0" w:color="auto"/>
        <w:right w:val="none" w:sz="0" w:space="0" w:color="auto"/>
      </w:divBdr>
    </w:div>
    <w:div w:id="1302157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idraudimas.lt"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f@idf.lt"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0</TotalTime>
  <Pages>20</Pages>
  <Words>7059</Words>
  <Characters>40237</Characters>
  <Application>Microsoft Office Word</Application>
  <DocSecurity>0</DocSecurity>
  <Lines>335</Lines>
  <Paragraphs>94</Paragraphs>
  <ScaleCrop>false</ScaleCrop>
  <HeadingPairs>
    <vt:vector size="2" baseType="variant">
      <vt:variant>
        <vt:lpstr>Pavadinimas</vt:lpstr>
      </vt:variant>
      <vt:variant>
        <vt:i4>1</vt:i4>
      </vt:variant>
    </vt:vector>
  </HeadingPairs>
  <TitlesOfParts>
    <vt:vector size="1" baseType="lpstr">
      <vt:lpstr>2012 metų finansinės ataskaitos</vt:lpstr>
    </vt:vector>
  </TitlesOfParts>
  <Company>KPMG</Company>
  <LinksUpToDate>false</LinksUpToDate>
  <CharactersWithSpaces>47202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metų finansinės ataskaitos</dc:title>
  <dc:subject>UAB Al holdingas</dc:subject>
  <dc:creator>KPMG</dc:creator>
  <cp:keywords/>
  <dc:description/>
  <cp:lastModifiedBy>Valdonė Ugianskienė</cp:lastModifiedBy>
  <cp:revision>2</cp:revision>
  <cp:lastPrinted>2018-04-18T07:35:00Z</cp:lastPrinted>
  <dcterms:created xsi:type="dcterms:W3CDTF">2019-03-18T08:21:00Z</dcterms:created>
  <dcterms:modified xsi:type="dcterms:W3CDTF">2019-03-18T08:21:00Z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UAB</vt:lpwstr>
  </property>
  <property fmtid="{D5CDD505-2E9C-101B-9397-08002B2CF9AE}" pid="4" name="KISFirmPrtName">
    <vt:lpwstr>"KPMG Baltics", UAB</vt:lpwstr>
  </property>
  <property fmtid="{D5CDD505-2E9C-101B-9397-08002B2CF9AE}" pid="5" name="KISFirmInfoA">
    <vt:lpwstr>Įmonės kodas 111494971</vt:lpwstr>
  </property>
  <property fmtid="{D5CDD505-2E9C-101B-9397-08002B2CF9AE}" pid="6" name="KISFirmInfoB">
    <vt:lpwstr>PVM kodas LT114949716</vt:lpwstr>
  </property>
  <property fmtid="{D5CDD505-2E9C-101B-9397-08002B2CF9AE}" pid="7" name="KISFirmInfoC">
    <vt:lpwstr/>
  </property>
  <property fmtid="{D5CDD505-2E9C-101B-9397-08002B2CF9AE}" pid="8" name="KISFirmDesc">
    <vt:lpwstr>© YYYY "KPMG Baltics", UAB, a Lithuanian limited liability company and a member firm of the KPMG network of independent members firms affiliated with KPMG International Cooperative ("KPMG International") a Swiss entity. All rights reserved.</vt:lpwstr>
  </property>
  <property fmtid="{D5CDD505-2E9C-101B-9397-08002B2CF9AE}" pid="9" name="KISSvcDispName">
    <vt:lpwstr>International Headquarters</vt:lpwstr>
  </property>
  <property fmtid="{D5CDD505-2E9C-101B-9397-08002B2CF9AE}" pid="10" name="KISSvcPrtName">
    <vt:lpwstr>International Headquarters</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Vilnius</vt:lpwstr>
  </property>
  <property fmtid="{D5CDD505-2E9C-101B-9397-08002B2CF9AE}" pid="15" name="KISOffCity">
    <vt:lpwstr/>
  </property>
  <property fmtid="{D5CDD505-2E9C-101B-9397-08002B2CF9AE}" pid="16" name="KISOffInfoA">
    <vt:lpwstr/>
  </property>
  <property fmtid="{D5CDD505-2E9C-101B-9397-08002B2CF9AE}" pid="17" name="KISOff1Addr">
    <vt:lpwstr>Upės 21_LT-08128 Vilnius _Lietuva / Lithuania</vt:lpwstr>
  </property>
  <property fmtid="{D5CDD505-2E9C-101B-9397-08002B2CF9AE}" pid="18" name="KISOff2Addr">
    <vt:lpwstr/>
  </property>
  <property fmtid="{D5CDD505-2E9C-101B-9397-08002B2CF9AE}" pid="19" name="KISOff3Addr">
    <vt:lpwstr>Tel./Phone:	+370 5 2102600_Faks./Fax:	+370 5 2102659_El. p./E-mail:	vilnius@kpmg.lt _		www.kpmg.lt</vt:lpwstr>
  </property>
  <property fmtid="{D5CDD505-2E9C-101B-9397-08002B2CF9AE}" pid="20" name="KISClient">
    <vt:lpwstr>UAB Al holdingas</vt:lpwstr>
  </property>
  <property fmtid="{D5CDD505-2E9C-101B-9397-08002B2CF9AE}" pid="21" name="KISSubject">
    <vt:lpwstr>2012 metų finansinės ataskaitos</vt:lpwstr>
  </property>
  <property fmtid="{D5CDD505-2E9C-101B-9397-08002B2CF9AE}" pid="22" name="KISRepSubTitle">
    <vt:lpwstr/>
  </property>
  <property fmtid="{D5CDD505-2E9C-101B-9397-08002B2CF9AE}" pid="23" name="KISHdrInfo">
    <vt:lpwstr/>
  </property>
  <property fmtid="{D5CDD505-2E9C-101B-9397-08002B2CF9AE}" pid="24" name="KISTmpltVer">
    <vt:lpwstr>3.0</vt:lpwstr>
  </property>
  <property fmtid="{D5CDD505-2E9C-101B-9397-08002B2CF9AE}" pid="25" name="KISFirmCopyright">
    <vt:lpwstr>© 2014 "KPMG Baltics", UAB, a Lithuanian limited liability company and a member firm of the KPMG network of independent members firms affiliated with KPMG International Cooperative ("KPMG International") a Swiss entity. All rights reserved.</vt:lpwstr>
  </property>
  <property fmtid="{D5CDD505-2E9C-101B-9397-08002B2CF9AE}" pid="26" name="KISFirmCopyright2">
    <vt:lpwstr/>
  </property>
  <property fmtid="{D5CDD505-2E9C-101B-9397-08002B2CF9AE}" pid="27" name="KISHdrInfoA">
    <vt:lpwstr/>
  </property>
</Properties>
</file>