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09" w:rsidRPr="00C10C8E" w:rsidRDefault="00964509" w:rsidP="00DA43A4">
      <w:pPr>
        <w:pStyle w:val="Heading3"/>
        <w:spacing w:after="0"/>
        <w:ind w:left="-142" w:firstLine="1438"/>
        <w:rPr>
          <w:b/>
          <w:szCs w:val="24"/>
        </w:rPr>
      </w:pPr>
      <w:bookmarkStart w:id="0" w:name="_GoBack"/>
      <w:bookmarkEnd w:id="0"/>
      <w:r w:rsidRPr="00C10C8E">
        <w:rPr>
          <w:b/>
          <w:szCs w:val="24"/>
        </w:rPr>
        <w:t>VALSTYBĖS ĮMONĖ „INDĖLIŲ IR INVESTICIJŲ DRAUDIMAS“</w:t>
      </w:r>
    </w:p>
    <w:p w:rsidR="00964509" w:rsidRPr="00C10C8E" w:rsidRDefault="00964509" w:rsidP="00DA43A4">
      <w:pPr>
        <w:pStyle w:val="Heading3"/>
        <w:tabs>
          <w:tab w:val="left" w:pos="4253"/>
        </w:tabs>
        <w:spacing w:after="0"/>
        <w:ind w:firstLine="0"/>
        <w:jc w:val="center"/>
        <w:rPr>
          <w:b/>
          <w:szCs w:val="24"/>
        </w:rPr>
      </w:pPr>
    </w:p>
    <w:p w:rsidR="00964509" w:rsidRPr="00C10C8E" w:rsidRDefault="00964509" w:rsidP="00DA43A4">
      <w:pPr>
        <w:pStyle w:val="Heading3"/>
        <w:tabs>
          <w:tab w:val="left" w:pos="4253"/>
        </w:tabs>
        <w:spacing w:after="0"/>
        <w:ind w:firstLine="0"/>
        <w:rPr>
          <w:b/>
          <w:szCs w:val="24"/>
        </w:rPr>
      </w:pPr>
    </w:p>
    <w:p w:rsidR="00CC133A" w:rsidRPr="00CC133A" w:rsidRDefault="00CC133A" w:rsidP="00DA43A4">
      <w:pPr>
        <w:jc w:val="center"/>
        <w:rPr>
          <w:b/>
          <w:bCs/>
        </w:rPr>
      </w:pPr>
      <w:r w:rsidRPr="00CC133A">
        <w:rPr>
          <w:b/>
          <w:szCs w:val="20"/>
          <w:lang w:eastAsia="lt-LT"/>
        </w:rPr>
        <w:t>INDĖLIŲ DRAUDIMO ĮMOKŲ IR ĮSIPAREIGOJIMŲ INVESTUOTOJAMS DRAUDIMO ĮMOKŲ APSKAIČIAVIMO</w:t>
      </w:r>
      <w:r w:rsidRPr="00CC133A">
        <w:rPr>
          <w:b/>
          <w:bCs/>
        </w:rPr>
        <w:t xml:space="preserve"> </w:t>
      </w:r>
      <w:r w:rsidR="00667674" w:rsidRPr="00CC133A">
        <w:rPr>
          <w:b/>
          <w:bCs/>
        </w:rPr>
        <w:t xml:space="preserve">VEIKLOS SRITIES </w:t>
      </w:r>
    </w:p>
    <w:p w:rsidR="00964509" w:rsidRPr="00CC133A" w:rsidRDefault="00667674" w:rsidP="00DA43A4">
      <w:pPr>
        <w:jc w:val="center"/>
        <w:rPr>
          <w:b/>
          <w:bCs/>
        </w:rPr>
      </w:pPr>
      <w:r w:rsidRPr="00CC133A">
        <w:rPr>
          <w:b/>
          <w:bCs/>
        </w:rPr>
        <w:t>VERTINIMO APRAŠYMAS</w:t>
      </w:r>
    </w:p>
    <w:p w:rsidR="00667674" w:rsidRPr="00D55B4C" w:rsidRDefault="00667674" w:rsidP="00DA43A4">
      <w:pPr>
        <w:jc w:val="center"/>
      </w:pPr>
    </w:p>
    <w:p w:rsidR="00667674" w:rsidRPr="00D55B4C" w:rsidRDefault="00D55B4C" w:rsidP="00DA43A4">
      <w:pPr>
        <w:pStyle w:val="Default"/>
        <w:jc w:val="center"/>
        <w:rPr>
          <w:color w:val="auto"/>
        </w:rPr>
      </w:pPr>
      <w:r w:rsidRPr="00D55B4C">
        <w:rPr>
          <w:color w:val="auto"/>
        </w:rPr>
        <w:t xml:space="preserve">2018 m. </w:t>
      </w:r>
      <w:r w:rsidR="00923C15" w:rsidRPr="00D55B4C">
        <w:rPr>
          <w:color w:val="auto"/>
        </w:rPr>
        <w:t xml:space="preserve">spalio </w:t>
      </w:r>
      <w:r w:rsidR="00923C15">
        <w:rPr>
          <w:color w:val="auto"/>
        </w:rPr>
        <w:t xml:space="preserve">5 </w:t>
      </w:r>
      <w:r w:rsidRPr="00D55B4C">
        <w:rPr>
          <w:color w:val="auto"/>
        </w:rPr>
        <w:t>d. Nr.</w:t>
      </w:r>
      <w:r w:rsidR="000F3934">
        <w:rPr>
          <w:color w:val="auto"/>
        </w:rPr>
        <w:t>16-12</w:t>
      </w:r>
    </w:p>
    <w:p w:rsidR="00D55B4C" w:rsidRPr="00D55B4C" w:rsidRDefault="00D55B4C" w:rsidP="00DA43A4">
      <w:pPr>
        <w:pStyle w:val="Default"/>
        <w:jc w:val="center"/>
        <w:rPr>
          <w:color w:val="auto"/>
        </w:rPr>
      </w:pPr>
      <w:r w:rsidRPr="00D55B4C">
        <w:rPr>
          <w:color w:val="auto"/>
        </w:rPr>
        <w:t>Vilnius</w:t>
      </w:r>
    </w:p>
    <w:p w:rsidR="00D55B4C" w:rsidRDefault="00D55B4C" w:rsidP="00DA43A4">
      <w:pPr>
        <w:pStyle w:val="Default"/>
        <w:jc w:val="center"/>
        <w:rPr>
          <w:b/>
          <w:color w:val="auto"/>
        </w:rPr>
      </w:pPr>
    </w:p>
    <w:p w:rsidR="00E9620F" w:rsidRPr="00CC133A" w:rsidRDefault="00E9620F" w:rsidP="00DA43A4">
      <w:pPr>
        <w:pStyle w:val="Default"/>
        <w:jc w:val="center"/>
        <w:rPr>
          <w:b/>
          <w:color w:val="auto"/>
        </w:rPr>
      </w:pPr>
      <w:r w:rsidRPr="00CC133A">
        <w:rPr>
          <w:b/>
          <w:color w:val="auto"/>
        </w:rPr>
        <w:t>BENDROJI DALIS</w:t>
      </w:r>
    </w:p>
    <w:p w:rsidR="00E9620F" w:rsidRPr="00CC133A" w:rsidRDefault="00E9620F" w:rsidP="00DA43A4">
      <w:pPr>
        <w:pStyle w:val="Default"/>
        <w:rPr>
          <w:b/>
          <w:color w:val="auto"/>
        </w:rPr>
      </w:pPr>
    </w:p>
    <w:p w:rsidR="008260CF" w:rsidRPr="00CC133A" w:rsidRDefault="008260CF" w:rsidP="00DA43A4">
      <w:pPr>
        <w:autoSpaceDE w:val="0"/>
        <w:autoSpaceDN w:val="0"/>
        <w:adjustRightInd w:val="0"/>
        <w:ind w:firstLine="567"/>
        <w:jc w:val="both"/>
      </w:pPr>
      <w:r w:rsidRPr="00CC133A">
        <w:t xml:space="preserve">Valstybės įmonės „Indėlių ir investicijų draudimas“ (toliau – IID) direktoriaus </w:t>
      </w:r>
      <w:r w:rsidR="001302BD" w:rsidRPr="00CC133A">
        <w:t xml:space="preserve">                                       </w:t>
      </w:r>
      <w:r w:rsidRPr="00CC133A">
        <w:t>2017 m. rugsėjo 29 d. įsakymo Nr. V – 52 „Dėl valstybės įmonės ,,Indėlių ir investicijų draudimas“ vidaus kontrolės ir rizikų valdymo nuostatų patvirtinimo“ 3 punktu sudaryta darbo grupė (toliau – KPTNDG) atliko Lietuvos Respublikos finansų ministro 201</w:t>
      </w:r>
      <w:r w:rsidR="00CC133A" w:rsidRPr="00CC133A">
        <w:t>8</w:t>
      </w:r>
      <w:r w:rsidRPr="00CC133A">
        <w:t xml:space="preserve"> m. birželio </w:t>
      </w:r>
      <w:r w:rsidR="00CC133A" w:rsidRPr="00CC133A">
        <w:t>22</w:t>
      </w:r>
      <w:r w:rsidRPr="00CC133A">
        <w:t xml:space="preserve"> d. įsakymo Nr. 1K-2</w:t>
      </w:r>
      <w:r w:rsidR="00CC133A" w:rsidRPr="00CC133A">
        <w:t>26</w:t>
      </w:r>
      <w:r w:rsidRPr="00CC133A">
        <w:t xml:space="preserve"> „Dėl </w:t>
      </w:r>
      <w:r w:rsidR="00CC133A" w:rsidRPr="00CC133A">
        <w:t xml:space="preserve">Lietuvos </w:t>
      </w:r>
      <w:r w:rsidR="00E25D38" w:rsidRPr="00CC133A">
        <w:t>Respublikos</w:t>
      </w:r>
      <w:r w:rsidR="00CC133A" w:rsidRPr="00CC133A">
        <w:t xml:space="preserve"> f</w:t>
      </w:r>
      <w:r w:rsidRPr="00CC133A">
        <w:t>inansų ministerijos ir finansų ministro valdymo sričiai priskirtų įstaigų</w:t>
      </w:r>
      <w:r w:rsidR="00CC133A" w:rsidRPr="00CC133A">
        <w:t>, įmonių</w:t>
      </w:r>
      <w:r w:rsidRPr="00CC133A">
        <w:t xml:space="preserve"> veiklos sričių, kuri</w:t>
      </w:r>
      <w:r w:rsidR="00CC133A" w:rsidRPr="00CC133A">
        <w:t>ų</w:t>
      </w:r>
      <w:r w:rsidRPr="00CC133A">
        <w:t xml:space="preserve"> </w:t>
      </w:r>
      <w:r w:rsidR="00CC133A" w:rsidRPr="00CC133A">
        <w:t xml:space="preserve">antikorupcinę analizę ir vertinimą </w:t>
      </w:r>
      <w:r w:rsidRPr="00CC133A">
        <w:t xml:space="preserve">tikslinga </w:t>
      </w:r>
      <w:r w:rsidR="00CC133A" w:rsidRPr="00CC133A">
        <w:t xml:space="preserve">atlikti </w:t>
      </w:r>
      <w:r w:rsidRPr="00CC133A">
        <w:t>201</w:t>
      </w:r>
      <w:r w:rsidR="00CC133A" w:rsidRPr="00CC133A">
        <w:t>8</w:t>
      </w:r>
      <w:r w:rsidRPr="00CC133A">
        <w:t xml:space="preserve"> metais, nustatymo“ 11 p</w:t>
      </w:r>
      <w:r w:rsidR="00CC133A" w:rsidRPr="00CC133A">
        <w:t>unkte</w:t>
      </w:r>
      <w:r w:rsidRPr="00CC133A">
        <w:t xml:space="preserve"> nustatytos veiklos srities (</w:t>
      </w:r>
      <w:r w:rsidR="00CC133A" w:rsidRPr="00CC133A">
        <w:rPr>
          <w:szCs w:val="20"/>
          <w:lang w:eastAsia="lt-LT"/>
        </w:rPr>
        <w:t>indėlių draudimo įmokų ir įsipareigojimų investuotojams draudimo įmokų apskaičiavimas</w:t>
      </w:r>
      <w:r w:rsidRPr="00CC133A">
        <w:t>), kurioje yra didelė korupcijos pasireiškimo tikimybė, analizę ir vertinimą</w:t>
      </w:r>
      <w:r w:rsidRPr="00CC133A">
        <w:rPr>
          <w:rFonts w:eastAsiaTheme="minorHAnsi"/>
        </w:rPr>
        <w:t xml:space="preserve"> (toliau – analizė ir vertinimas)</w:t>
      </w:r>
      <w:r w:rsidRPr="00CC133A">
        <w:t xml:space="preserve">. </w:t>
      </w:r>
    </w:p>
    <w:p w:rsidR="00E9620F" w:rsidRPr="00CC133A" w:rsidRDefault="00964509" w:rsidP="00DA43A4">
      <w:pPr>
        <w:ind w:firstLine="567"/>
        <w:jc w:val="both"/>
      </w:pPr>
      <w:r w:rsidRPr="00CC133A">
        <w:t>Analizuoti ir vertinti 201</w:t>
      </w:r>
      <w:r w:rsidR="00CC133A" w:rsidRPr="00CC133A">
        <w:t>8</w:t>
      </w:r>
      <w:r w:rsidRPr="00CC133A">
        <w:t xml:space="preserve"> m. III ketvirtį galiojantys </w:t>
      </w:r>
      <w:r w:rsidR="00CC133A" w:rsidRPr="00CC133A">
        <w:rPr>
          <w:szCs w:val="20"/>
          <w:lang w:eastAsia="lt-LT"/>
        </w:rPr>
        <w:t xml:space="preserve">indėlių draudimo įmokų ir įsipareigojimų investuotojams draudimo įmokų apskaičiavimo </w:t>
      </w:r>
      <w:r w:rsidRPr="00CC133A">
        <w:t xml:space="preserve">veiklos sritį </w:t>
      </w:r>
      <w:r w:rsidR="008260CF" w:rsidRPr="00CC133A">
        <w:rPr>
          <w:rFonts w:eastAsiaTheme="minorHAnsi"/>
        </w:rPr>
        <w:t xml:space="preserve">(toliau – veiklos sritis) </w:t>
      </w:r>
      <w:r w:rsidRPr="00CC133A">
        <w:t>reglamentuojantys teisės aktai.</w:t>
      </w:r>
    </w:p>
    <w:p w:rsidR="00E9620F" w:rsidRPr="00C10C8E" w:rsidRDefault="00E9620F" w:rsidP="00DA43A4"/>
    <w:p w:rsidR="00BB1564" w:rsidRPr="00C10C8E" w:rsidRDefault="00BB1564" w:rsidP="00DA43A4">
      <w:pPr>
        <w:pStyle w:val="ListParagraph"/>
        <w:numPr>
          <w:ilvl w:val="0"/>
          <w:numId w:val="1"/>
        </w:numPr>
        <w:tabs>
          <w:tab w:val="left" w:pos="284"/>
        </w:tabs>
        <w:autoSpaceDE w:val="0"/>
        <w:autoSpaceDN w:val="0"/>
        <w:adjustRightInd w:val="0"/>
        <w:ind w:left="0" w:firstLine="0"/>
        <w:jc w:val="center"/>
        <w:rPr>
          <w:rFonts w:eastAsia="Calibri"/>
        </w:rPr>
      </w:pPr>
      <w:r w:rsidRPr="00C10C8E">
        <w:rPr>
          <w:rFonts w:eastAsia="Calibri"/>
          <w:b/>
          <w:bCs/>
        </w:rPr>
        <w:t>VEIKLOS SRITIES ESAMOS SITUACIJOS VERTINIMAS</w:t>
      </w:r>
    </w:p>
    <w:p w:rsidR="00E9620F" w:rsidRPr="00C10C8E" w:rsidRDefault="00E9620F" w:rsidP="00DA43A4">
      <w:pPr>
        <w:tabs>
          <w:tab w:val="left" w:pos="284"/>
        </w:tabs>
      </w:pPr>
    </w:p>
    <w:p w:rsidR="00CC133A" w:rsidRDefault="00BB1564" w:rsidP="00DA43A4">
      <w:pPr>
        <w:tabs>
          <w:tab w:val="left" w:pos="993"/>
          <w:tab w:val="left" w:pos="3960"/>
        </w:tabs>
        <w:ind w:firstLine="567"/>
        <w:jc w:val="both"/>
        <w:rPr>
          <w:iCs/>
        </w:rPr>
      </w:pPr>
      <w:r w:rsidRPr="00C10C8E">
        <w:rPr>
          <w:iCs/>
        </w:rPr>
        <w:t>Veiklos srities esamos situacijos analizė ir vertinimas atliktas vadovaujantis</w:t>
      </w:r>
      <w:r w:rsidR="00CC133A">
        <w:rPr>
          <w:iCs/>
        </w:rPr>
        <w:t>:</w:t>
      </w:r>
    </w:p>
    <w:p w:rsidR="00CC133A" w:rsidRPr="00CC133A" w:rsidRDefault="00BB1564" w:rsidP="00DA43A4">
      <w:pPr>
        <w:pStyle w:val="ListParagraph"/>
        <w:numPr>
          <w:ilvl w:val="0"/>
          <w:numId w:val="16"/>
        </w:numPr>
        <w:tabs>
          <w:tab w:val="left" w:pos="993"/>
          <w:tab w:val="left" w:pos="3960"/>
        </w:tabs>
        <w:ind w:left="0" w:firstLine="567"/>
        <w:jc w:val="both"/>
        <w:rPr>
          <w:iCs/>
        </w:rPr>
      </w:pPr>
      <w:r w:rsidRPr="00CC133A">
        <w:rPr>
          <w:iCs/>
        </w:rPr>
        <w:t>Lietuvos Respublikos korupcijos prevencijos įstatymo</w:t>
      </w:r>
      <w:r w:rsidR="00B613CE">
        <w:rPr>
          <w:iCs/>
        </w:rPr>
        <w:t xml:space="preserve"> (toliau – KPĮ)</w:t>
      </w:r>
      <w:r w:rsidRPr="00CC133A">
        <w:rPr>
          <w:iCs/>
        </w:rPr>
        <w:t xml:space="preserve"> 6 straipsn</w:t>
      </w:r>
      <w:r w:rsidR="00CC133A" w:rsidRPr="00CC133A">
        <w:rPr>
          <w:iCs/>
        </w:rPr>
        <w:t>iu</w:t>
      </w:r>
      <w:r w:rsidR="007B2C06">
        <w:rPr>
          <w:iCs/>
        </w:rPr>
        <w:t>;</w:t>
      </w:r>
      <w:r w:rsidRPr="00CC133A">
        <w:rPr>
          <w:iCs/>
        </w:rPr>
        <w:t xml:space="preserve"> </w:t>
      </w:r>
    </w:p>
    <w:p w:rsidR="00CC133A" w:rsidRDefault="00BB1564" w:rsidP="00DA43A4">
      <w:pPr>
        <w:pStyle w:val="ListParagraph"/>
        <w:numPr>
          <w:ilvl w:val="0"/>
          <w:numId w:val="16"/>
        </w:numPr>
        <w:tabs>
          <w:tab w:val="left" w:pos="993"/>
          <w:tab w:val="left" w:pos="3960"/>
        </w:tabs>
        <w:ind w:left="0" w:firstLine="567"/>
        <w:jc w:val="both"/>
        <w:rPr>
          <w:iCs/>
        </w:rPr>
      </w:pPr>
      <w:r w:rsidRPr="00CC133A">
        <w:rPr>
          <w:iCs/>
        </w:rPr>
        <w:t>Finansų ministerijos ir finansų ministro valdymo sričiai priskirtų įstaigų, įmonių korupcijos prevencijos tvarkos apraš</w:t>
      </w:r>
      <w:r w:rsidR="002F6556">
        <w:rPr>
          <w:iCs/>
        </w:rPr>
        <w:t>u</w:t>
      </w:r>
      <w:r w:rsidRPr="00CC133A">
        <w:rPr>
          <w:iCs/>
        </w:rPr>
        <w:t>, patvirtint</w:t>
      </w:r>
      <w:r w:rsidR="002F6556">
        <w:rPr>
          <w:iCs/>
        </w:rPr>
        <w:t>u</w:t>
      </w:r>
      <w:r w:rsidRPr="00CC133A">
        <w:rPr>
          <w:iCs/>
        </w:rPr>
        <w:t xml:space="preserve"> Lietuvos Respublikos finansų ministro 2007 m. rugsėjo 20 d. įsakymu Nr. 1K-261 (2012 m. rugsėjo 6 d. įsakymo Nr. 1K-300 redakcija)</w:t>
      </w:r>
      <w:r w:rsidR="002F6556">
        <w:rPr>
          <w:iCs/>
        </w:rPr>
        <w:t>;</w:t>
      </w:r>
    </w:p>
    <w:p w:rsidR="00CC133A" w:rsidRDefault="00BB1564" w:rsidP="00DA43A4">
      <w:pPr>
        <w:pStyle w:val="ListParagraph"/>
        <w:numPr>
          <w:ilvl w:val="0"/>
          <w:numId w:val="16"/>
        </w:numPr>
        <w:tabs>
          <w:tab w:val="left" w:pos="993"/>
          <w:tab w:val="left" w:pos="3960"/>
        </w:tabs>
        <w:ind w:left="0" w:firstLine="567"/>
        <w:jc w:val="both"/>
        <w:rPr>
          <w:iCs/>
        </w:rPr>
      </w:pPr>
      <w:r w:rsidRPr="00CC133A">
        <w:rPr>
          <w:iCs/>
        </w:rPr>
        <w:t>Valstybės ar savivaldybės įstaigų veiklos sričių, kuriose egzistuoja didelė korupcijos pasireiškimo tikimybė, nustatymo rekomendacij</w:t>
      </w:r>
      <w:r w:rsidR="002F6556">
        <w:rPr>
          <w:iCs/>
        </w:rPr>
        <w:t>omis</w:t>
      </w:r>
      <w:r w:rsidRPr="00CC133A">
        <w:rPr>
          <w:iCs/>
        </w:rPr>
        <w:t>, patvirtint</w:t>
      </w:r>
      <w:r w:rsidR="002F6556">
        <w:rPr>
          <w:iCs/>
        </w:rPr>
        <w:t>omis</w:t>
      </w:r>
      <w:r w:rsidRPr="00CC133A">
        <w:rPr>
          <w:iCs/>
        </w:rPr>
        <w:t xml:space="preserve"> Lietuvos Respublikos specialiųjų tyrimų tarnybos direktoriaus 2011 m. gegužės 13 d. įsakymu Nr. 2-170</w:t>
      </w:r>
      <w:r w:rsidR="00634806">
        <w:rPr>
          <w:iCs/>
        </w:rPr>
        <w:t>;</w:t>
      </w:r>
      <w:r w:rsidRPr="00CC133A">
        <w:rPr>
          <w:iCs/>
        </w:rPr>
        <w:t xml:space="preserve"> </w:t>
      </w:r>
    </w:p>
    <w:p w:rsidR="00BB1564" w:rsidRDefault="00BB1564" w:rsidP="00DA43A4">
      <w:pPr>
        <w:pStyle w:val="ListParagraph"/>
        <w:numPr>
          <w:ilvl w:val="0"/>
          <w:numId w:val="16"/>
        </w:numPr>
        <w:tabs>
          <w:tab w:val="left" w:pos="993"/>
          <w:tab w:val="left" w:pos="3960"/>
        </w:tabs>
        <w:ind w:left="0" w:firstLine="567"/>
        <w:jc w:val="both"/>
        <w:rPr>
          <w:iCs/>
        </w:rPr>
      </w:pPr>
      <w:r w:rsidRPr="00CC133A">
        <w:rPr>
          <w:iCs/>
        </w:rPr>
        <w:t>Valstybės įmonės ,,Indėlių ir investicijų draudimas“ vidaus kontrolės ir rizikų valdymo nuostat</w:t>
      </w:r>
      <w:r w:rsidR="002F6556">
        <w:rPr>
          <w:iCs/>
        </w:rPr>
        <w:t>ais</w:t>
      </w:r>
      <w:r w:rsidRPr="00CC133A">
        <w:rPr>
          <w:iCs/>
        </w:rPr>
        <w:t>, patvirtint</w:t>
      </w:r>
      <w:r w:rsidR="002F6556">
        <w:rPr>
          <w:iCs/>
        </w:rPr>
        <w:t>ais</w:t>
      </w:r>
      <w:r w:rsidRPr="00CC133A">
        <w:rPr>
          <w:iCs/>
        </w:rPr>
        <w:t xml:space="preserve"> IID direktoriaus 201</w:t>
      </w:r>
      <w:r w:rsidR="002F6556">
        <w:rPr>
          <w:iCs/>
        </w:rPr>
        <w:t>8</w:t>
      </w:r>
      <w:r w:rsidRPr="00CC133A">
        <w:rPr>
          <w:iCs/>
        </w:rPr>
        <w:t xml:space="preserve"> m. </w:t>
      </w:r>
      <w:r w:rsidR="002F6556">
        <w:rPr>
          <w:iCs/>
        </w:rPr>
        <w:t>birželio</w:t>
      </w:r>
      <w:r w:rsidRPr="00CC133A">
        <w:rPr>
          <w:iCs/>
        </w:rPr>
        <w:t xml:space="preserve"> </w:t>
      </w:r>
      <w:r w:rsidR="002F6556">
        <w:rPr>
          <w:iCs/>
        </w:rPr>
        <w:t>7</w:t>
      </w:r>
      <w:r w:rsidRPr="00CC133A">
        <w:rPr>
          <w:iCs/>
        </w:rPr>
        <w:t xml:space="preserve"> d. įsakym</w:t>
      </w:r>
      <w:r w:rsidR="002F6556">
        <w:rPr>
          <w:iCs/>
        </w:rPr>
        <w:t>u</w:t>
      </w:r>
      <w:r w:rsidRPr="00CC133A">
        <w:rPr>
          <w:iCs/>
        </w:rPr>
        <w:t xml:space="preserve"> Nr. V – 5</w:t>
      </w:r>
      <w:r w:rsidR="002F6556">
        <w:rPr>
          <w:iCs/>
        </w:rPr>
        <w:t>7</w:t>
      </w:r>
      <w:r w:rsidRPr="00CC133A">
        <w:rPr>
          <w:iCs/>
        </w:rPr>
        <w:t>.</w:t>
      </w:r>
    </w:p>
    <w:p w:rsidR="00BB1564" w:rsidRDefault="00BB1564" w:rsidP="00DA43A4">
      <w:pPr>
        <w:tabs>
          <w:tab w:val="left" w:pos="993"/>
          <w:tab w:val="left" w:pos="3960"/>
        </w:tabs>
        <w:ind w:firstLine="567"/>
        <w:jc w:val="both"/>
        <w:rPr>
          <w:bCs/>
          <w:iCs/>
        </w:rPr>
      </w:pPr>
      <w:r w:rsidRPr="00C10C8E">
        <w:rPr>
          <w:bCs/>
          <w:iCs/>
        </w:rPr>
        <w:t xml:space="preserve">Vadovaujantis </w:t>
      </w:r>
      <w:r w:rsidR="00E25D38" w:rsidRPr="00E25D38">
        <w:rPr>
          <w:bCs/>
          <w:iCs/>
        </w:rPr>
        <w:t>Lietuvos Respublikos finansų ministro 2018 m. birželio 22 d. įsakymo Nr. 1K-226 „Dėl Lietuvos Respublikos finansų ministerijos ir finansų ministro valdymo sričiai priskirtų įstaigų, įmonių veiklos sričių, kurių  antikorupcinę analizę ir vertinimą tikslinga atlikti 2018 metais, nustatymo“ 11</w:t>
      </w:r>
      <w:r w:rsidR="00E25D38">
        <w:rPr>
          <w:bCs/>
          <w:iCs/>
        </w:rPr>
        <w:t xml:space="preserve"> punktu, </w:t>
      </w:r>
      <w:r w:rsidR="00E25D38" w:rsidRPr="00E25D38">
        <w:rPr>
          <w:bCs/>
          <w:iCs/>
        </w:rPr>
        <w:t>KPTNDG</w:t>
      </w:r>
      <w:r w:rsidR="00E25D38">
        <w:rPr>
          <w:bCs/>
          <w:iCs/>
        </w:rPr>
        <w:t xml:space="preserve"> </w:t>
      </w:r>
      <w:r w:rsidRPr="00C10C8E">
        <w:rPr>
          <w:bCs/>
          <w:iCs/>
        </w:rPr>
        <w:t>atlik</w:t>
      </w:r>
      <w:r w:rsidR="00EB2A2A" w:rsidRPr="00C10C8E">
        <w:rPr>
          <w:bCs/>
          <w:iCs/>
        </w:rPr>
        <w:t>o</w:t>
      </w:r>
      <w:r w:rsidRPr="00C10C8E">
        <w:rPr>
          <w:bCs/>
          <w:iCs/>
        </w:rPr>
        <w:t xml:space="preserve"> antikorupcinę analizę ir vertinimą </w:t>
      </w:r>
      <w:r w:rsidR="00E25D38" w:rsidRPr="00CC133A">
        <w:rPr>
          <w:szCs w:val="20"/>
          <w:lang w:eastAsia="lt-LT"/>
        </w:rPr>
        <w:t xml:space="preserve">indėlių draudimo įmokų ir įsipareigojimų investuotojams draudimo įmokų apskaičiavimo </w:t>
      </w:r>
      <w:r w:rsidRPr="00C10C8E">
        <w:rPr>
          <w:bCs/>
          <w:iCs/>
        </w:rPr>
        <w:t>srityse.</w:t>
      </w:r>
    </w:p>
    <w:p w:rsidR="00BB1564" w:rsidRPr="00C10C8E" w:rsidRDefault="00BB1564" w:rsidP="00DA43A4">
      <w:pPr>
        <w:tabs>
          <w:tab w:val="left" w:pos="3960"/>
        </w:tabs>
        <w:ind w:firstLine="567"/>
        <w:jc w:val="both"/>
      </w:pPr>
      <w:r w:rsidRPr="00C10C8E">
        <w:rPr>
          <w:b/>
        </w:rPr>
        <w:t xml:space="preserve">Analizės ir vertinimo tikslas – </w:t>
      </w:r>
      <w:r w:rsidRPr="00C10C8E">
        <w:t xml:space="preserve">identifikuoti išorinius ir vidinius veiksnius, galinčius sudaryti prielaidas korupcijos pasireiškimui </w:t>
      </w:r>
      <w:r w:rsidR="00E25D38" w:rsidRPr="00CC133A">
        <w:rPr>
          <w:szCs w:val="20"/>
          <w:lang w:eastAsia="lt-LT"/>
        </w:rPr>
        <w:t>indėlių draudimo įmokų ir įsipareigojimų investuotojams draudimo įmokų apskaičiavimo</w:t>
      </w:r>
      <w:r w:rsidR="00634806">
        <w:rPr>
          <w:szCs w:val="20"/>
          <w:lang w:eastAsia="lt-LT"/>
        </w:rPr>
        <w:t xml:space="preserve"> srityje</w:t>
      </w:r>
      <w:r w:rsidRPr="00C10C8E">
        <w:t xml:space="preserve">, parengti priemonių planą joms minimizuoti ir/ar pašalinti. </w:t>
      </w:r>
    </w:p>
    <w:p w:rsidR="0086431C" w:rsidRDefault="00BB1564" w:rsidP="00DA43A4">
      <w:pPr>
        <w:tabs>
          <w:tab w:val="left" w:pos="3960"/>
        </w:tabs>
        <w:ind w:firstLine="567"/>
        <w:jc w:val="both"/>
      </w:pPr>
      <w:r w:rsidRPr="00C10C8E">
        <w:rPr>
          <w:b/>
        </w:rPr>
        <w:t>Analizuotas objektas –</w:t>
      </w:r>
      <w:r w:rsidR="0086431C">
        <w:rPr>
          <w:b/>
        </w:rPr>
        <w:t xml:space="preserve"> </w:t>
      </w:r>
      <w:r w:rsidRPr="00C10C8E">
        <w:t xml:space="preserve">veikla </w:t>
      </w:r>
      <w:r w:rsidR="0086431C">
        <w:t>apskaičiuojant indėlių draudimo įmokas</w:t>
      </w:r>
      <w:r w:rsidR="0086431C" w:rsidRPr="0086431C">
        <w:t xml:space="preserve"> ir įsipareigojimų investuotoja</w:t>
      </w:r>
      <w:r w:rsidR="0086431C">
        <w:t>ms draudimo įmokas.</w:t>
      </w:r>
    </w:p>
    <w:p w:rsidR="00B613CE" w:rsidRDefault="00C12C46" w:rsidP="007E7917">
      <w:pPr>
        <w:ind w:firstLine="567"/>
        <w:jc w:val="both"/>
        <w:rPr>
          <w:iCs/>
        </w:rPr>
      </w:pPr>
      <w:r w:rsidRPr="00C10C8E">
        <w:rPr>
          <w:iCs/>
        </w:rPr>
        <w:t>Lietuvos Respublikos finansų ministro 2008 m. rugsėjo 16 d. įsakymo Nr. 1K-288 „Dėl Lietuvos Respublikos finansų ministerijos ir finansų ministro valdymo sričiai priskirtų įstaigų</w:t>
      </w:r>
      <w:r w:rsidR="0086431C">
        <w:rPr>
          <w:iCs/>
        </w:rPr>
        <w:t>, įmonių</w:t>
      </w:r>
      <w:r w:rsidRPr="00C10C8E">
        <w:rPr>
          <w:iCs/>
        </w:rPr>
        <w:t xml:space="preserve"> veiklos sričių, kuriose yra korupcijos pasireiškimo tikimybė, nustatymo“ (Lietuvos Respublikos finansų ministro 2017 m. birželio 16 d. įsakymo Nr. 1K-238 redakcija</w:t>
      </w:r>
      <w:r w:rsidR="0086431C">
        <w:rPr>
          <w:iCs/>
        </w:rPr>
        <w:t>; suvestinė redakcija nuo 2018 m. vasario 15 d.</w:t>
      </w:r>
      <w:r w:rsidRPr="00C10C8E">
        <w:rPr>
          <w:iCs/>
        </w:rPr>
        <w:t xml:space="preserve">) </w:t>
      </w:r>
      <w:r w:rsidR="0086431C">
        <w:rPr>
          <w:iCs/>
        </w:rPr>
        <w:t>10.3</w:t>
      </w:r>
      <w:r w:rsidRPr="00C10C8E">
        <w:rPr>
          <w:iCs/>
        </w:rPr>
        <w:t xml:space="preserve"> papunktyje nustatyti kriterijai, kuriais remiantis analizuojam</w:t>
      </w:r>
      <w:r w:rsidR="00EB2A2A" w:rsidRPr="00C10C8E">
        <w:rPr>
          <w:iCs/>
        </w:rPr>
        <w:t>a</w:t>
      </w:r>
      <w:r w:rsidR="00634806">
        <w:rPr>
          <w:iCs/>
        </w:rPr>
        <w:t xml:space="preserve"> veiklos sritis</w:t>
      </w:r>
      <w:r w:rsidRPr="00C10C8E">
        <w:rPr>
          <w:iCs/>
        </w:rPr>
        <w:t xml:space="preserve"> yra priskiria</w:t>
      </w:r>
      <w:r w:rsidR="00EB2A2A" w:rsidRPr="00C10C8E">
        <w:rPr>
          <w:iCs/>
        </w:rPr>
        <w:t>ma</w:t>
      </w:r>
      <w:r w:rsidRPr="00C10C8E">
        <w:rPr>
          <w:iCs/>
        </w:rPr>
        <w:t xml:space="preserve"> veiklos sritims, kuriose egzistuoja korupcijos pasireiškimo tikimybė. </w:t>
      </w:r>
    </w:p>
    <w:p w:rsidR="00C12C46" w:rsidRPr="00C10C8E" w:rsidRDefault="00C12C46" w:rsidP="00DA43A4">
      <w:pPr>
        <w:tabs>
          <w:tab w:val="left" w:pos="993"/>
          <w:tab w:val="left" w:pos="3960"/>
        </w:tabs>
        <w:ind w:firstLine="567"/>
        <w:jc w:val="both"/>
        <w:rPr>
          <w:iCs/>
        </w:rPr>
      </w:pPr>
      <w:r w:rsidRPr="00C10C8E">
        <w:rPr>
          <w:iCs/>
        </w:rPr>
        <w:lastRenderedPageBreak/>
        <w:t>Todėl, esama situacija analizuojam</w:t>
      </w:r>
      <w:r w:rsidR="00B613CE">
        <w:rPr>
          <w:iCs/>
        </w:rPr>
        <w:t>oje</w:t>
      </w:r>
      <w:r w:rsidRPr="00C10C8E">
        <w:rPr>
          <w:iCs/>
        </w:rPr>
        <w:t xml:space="preserve"> veiklos srity</w:t>
      </w:r>
      <w:r w:rsidR="00B613CE">
        <w:rPr>
          <w:iCs/>
        </w:rPr>
        <w:t>j</w:t>
      </w:r>
      <w:r w:rsidRPr="00C10C8E">
        <w:rPr>
          <w:iCs/>
        </w:rPr>
        <w:t>e turėtų būti įvertinta taikant šiuos Lietuvos Respublikos finansų ministro 2008 m. rugsėjo 16 d. įsakyme Nr. 1K-288 nurodytus KPĮ 6 straipsnio 4 dalyje nustatytus kriterijus:</w:t>
      </w:r>
    </w:p>
    <w:p w:rsidR="00B613CE" w:rsidRDefault="007C230D" w:rsidP="00DA43A4">
      <w:pPr>
        <w:numPr>
          <w:ilvl w:val="1"/>
          <w:numId w:val="7"/>
        </w:numPr>
        <w:tabs>
          <w:tab w:val="left" w:pos="567"/>
          <w:tab w:val="left" w:pos="993"/>
        </w:tabs>
        <w:ind w:left="0" w:firstLine="567"/>
        <w:contextualSpacing/>
        <w:jc w:val="both"/>
        <w:rPr>
          <w:rFonts w:eastAsia="Calibri"/>
        </w:rPr>
      </w:pPr>
      <w:r w:rsidRPr="007C230D">
        <w:rPr>
          <w:rFonts w:eastAsia="Calibri"/>
          <w:iCs/>
        </w:rPr>
        <w:t xml:space="preserve">KPĮ </w:t>
      </w:r>
      <w:r w:rsidR="00C12C46" w:rsidRPr="00C10C8E">
        <w:rPr>
          <w:rFonts w:eastAsia="Calibri"/>
        </w:rPr>
        <w:t>6 straipsnio 4 dalies 4 punkte nustatytą kriterijų – veikla yra susijusi su leidimų, nuolaidų, lengvatų ir kitokių papildomų teisių suteikimu ar apribojimu</w:t>
      </w:r>
      <w:r w:rsidR="00B613CE">
        <w:rPr>
          <w:rFonts w:eastAsia="Calibri"/>
        </w:rPr>
        <w:t>;</w:t>
      </w:r>
    </w:p>
    <w:p w:rsidR="00C12C46" w:rsidRPr="00C10C8E" w:rsidRDefault="007C230D" w:rsidP="00DA43A4">
      <w:pPr>
        <w:numPr>
          <w:ilvl w:val="1"/>
          <w:numId w:val="7"/>
        </w:numPr>
        <w:tabs>
          <w:tab w:val="left" w:pos="567"/>
          <w:tab w:val="left" w:pos="993"/>
        </w:tabs>
        <w:ind w:left="0" w:firstLine="567"/>
        <w:contextualSpacing/>
        <w:jc w:val="both"/>
        <w:rPr>
          <w:rFonts w:eastAsia="Calibri"/>
        </w:rPr>
      </w:pPr>
      <w:r w:rsidRPr="007C230D">
        <w:rPr>
          <w:rFonts w:eastAsia="Calibri"/>
          <w:iCs/>
        </w:rPr>
        <w:t xml:space="preserve">KPĮ </w:t>
      </w:r>
      <w:r w:rsidRPr="007C230D">
        <w:rPr>
          <w:rFonts w:eastAsia="Calibri"/>
        </w:rPr>
        <w:t>6 straipsnio 4 dalies 5 punkte nustatytą kriterijų – daugiausia priima sprendimus, kuriems nereikia kitos valstybės ar sav</w:t>
      </w:r>
      <w:r>
        <w:rPr>
          <w:rFonts w:eastAsia="Calibri"/>
        </w:rPr>
        <w:t>ivaldybės įstaigos patvirtinimo.</w:t>
      </w:r>
    </w:p>
    <w:p w:rsidR="00C12C46" w:rsidRPr="00C10C8E" w:rsidRDefault="00C12C46" w:rsidP="00DA43A4">
      <w:pPr>
        <w:ind w:firstLine="567"/>
        <w:jc w:val="both"/>
        <w:rPr>
          <w:rFonts w:eastAsia="Calibri"/>
        </w:rPr>
      </w:pPr>
      <w:r w:rsidRPr="00C10C8E">
        <w:rPr>
          <w:rFonts w:eastAsia="Calibri"/>
        </w:rPr>
        <w:t xml:space="preserve">Todėl KPTNDG atlikdama </w:t>
      </w:r>
      <w:r w:rsidR="007C230D" w:rsidRPr="00CC133A">
        <w:rPr>
          <w:szCs w:val="20"/>
          <w:lang w:eastAsia="lt-LT"/>
        </w:rPr>
        <w:t xml:space="preserve">indėlių draudimo įmokų ir įsipareigojimų investuotojams draudimo įmokų apskaičiavimo </w:t>
      </w:r>
      <w:r w:rsidRPr="00C10C8E">
        <w:rPr>
          <w:rFonts w:eastAsia="Calibri"/>
        </w:rPr>
        <w:t>antiko</w:t>
      </w:r>
      <w:r w:rsidR="00696D04" w:rsidRPr="00C10C8E">
        <w:rPr>
          <w:rFonts w:eastAsia="Calibri"/>
        </w:rPr>
        <w:t>rupcinį vertinimą, analizuojamą veiklos sritį</w:t>
      </w:r>
      <w:r w:rsidRPr="00C10C8E">
        <w:rPr>
          <w:rFonts w:eastAsia="Calibri"/>
        </w:rPr>
        <w:t xml:space="preserve"> vertin</w:t>
      </w:r>
      <w:r w:rsidR="005F0964">
        <w:rPr>
          <w:rFonts w:eastAsia="Calibri"/>
        </w:rPr>
        <w:t>o</w:t>
      </w:r>
      <w:r w:rsidRPr="00C10C8E">
        <w:rPr>
          <w:rFonts w:eastAsia="Calibri"/>
        </w:rPr>
        <w:t xml:space="preserve"> pagal </w:t>
      </w:r>
      <w:r w:rsidR="007C230D">
        <w:rPr>
          <w:rFonts w:eastAsia="Calibri"/>
        </w:rPr>
        <w:t xml:space="preserve">minėtus </w:t>
      </w:r>
      <w:r w:rsidR="00634806">
        <w:rPr>
          <w:rFonts w:eastAsia="Calibri"/>
        </w:rPr>
        <w:t>kriterijus.</w:t>
      </w:r>
    </w:p>
    <w:p w:rsidR="00BB1564" w:rsidRPr="00C10C8E" w:rsidRDefault="00F40F5D" w:rsidP="00DA43A4">
      <w:pPr>
        <w:tabs>
          <w:tab w:val="left" w:pos="851"/>
          <w:tab w:val="left" w:pos="3960"/>
        </w:tabs>
        <w:ind w:firstLine="567"/>
        <w:jc w:val="both"/>
        <w:rPr>
          <w:iCs/>
        </w:rPr>
      </w:pPr>
      <w:r w:rsidRPr="00C10C8E">
        <w:rPr>
          <w:iCs/>
        </w:rPr>
        <w:t xml:space="preserve">Pirminei informacijai apie veiklos srities esamą situaciją gauti KPTNDG parengė klausimyną, kuris skirtas nustatyti, kokie teisės aktai reglamentuoja </w:t>
      </w:r>
      <w:r w:rsidR="007C230D" w:rsidRPr="00CC133A">
        <w:rPr>
          <w:szCs w:val="20"/>
          <w:lang w:eastAsia="lt-LT"/>
        </w:rPr>
        <w:t>indėlių draudimo įmokų ir įsipareigojimų investuotoja</w:t>
      </w:r>
      <w:r w:rsidR="007C230D">
        <w:rPr>
          <w:szCs w:val="20"/>
          <w:lang w:eastAsia="lt-LT"/>
        </w:rPr>
        <w:t>ms draudimo įmokų apskaičiavim</w:t>
      </w:r>
      <w:r w:rsidRPr="00C10C8E">
        <w:rPr>
          <w:rFonts w:eastAsia="Calibri"/>
        </w:rPr>
        <w:t>ą</w:t>
      </w:r>
      <w:r w:rsidRPr="00C10C8E">
        <w:rPr>
          <w:iCs/>
        </w:rPr>
        <w:t xml:space="preserve">, ir šį klausimyną pateikė užpildyti pagal kompetenciją analizuojamą veiklą vykdančiam IID padaliniui – IID </w:t>
      </w:r>
      <w:r w:rsidR="007C230D">
        <w:rPr>
          <w:iCs/>
        </w:rPr>
        <w:t>Fondų administravimo</w:t>
      </w:r>
      <w:r w:rsidRPr="00C10C8E">
        <w:rPr>
          <w:iCs/>
        </w:rPr>
        <w:t xml:space="preserve"> skyriui</w:t>
      </w:r>
      <w:r w:rsidR="007C230D">
        <w:rPr>
          <w:iCs/>
        </w:rPr>
        <w:t xml:space="preserve"> (toliau – FAS)</w:t>
      </w:r>
      <w:r w:rsidRPr="00C10C8E">
        <w:rPr>
          <w:iCs/>
        </w:rPr>
        <w:t>.</w:t>
      </w:r>
    </w:p>
    <w:p w:rsidR="00696D04" w:rsidRPr="00C10C8E" w:rsidRDefault="00696D04" w:rsidP="00DA43A4">
      <w:pPr>
        <w:tabs>
          <w:tab w:val="left" w:pos="851"/>
          <w:tab w:val="left" w:pos="3960"/>
        </w:tabs>
        <w:ind w:firstLine="567"/>
        <w:jc w:val="both"/>
        <w:rPr>
          <w:iCs/>
        </w:rPr>
      </w:pPr>
    </w:p>
    <w:p w:rsidR="00696D04" w:rsidRPr="00C10C8E" w:rsidRDefault="00696D04" w:rsidP="00DA43A4">
      <w:pPr>
        <w:tabs>
          <w:tab w:val="left" w:pos="567"/>
          <w:tab w:val="left" w:pos="3960"/>
        </w:tabs>
        <w:jc w:val="center"/>
        <w:rPr>
          <w:b/>
          <w:iCs/>
        </w:rPr>
      </w:pPr>
      <w:r w:rsidRPr="00C10C8E">
        <w:rPr>
          <w:b/>
          <w:iCs/>
        </w:rPr>
        <w:t>2.</w:t>
      </w:r>
      <w:r w:rsidRPr="00C10C8E">
        <w:rPr>
          <w:iCs/>
        </w:rPr>
        <w:t xml:space="preserve"> </w:t>
      </w:r>
      <w:r w:rsidRPr="00C10C8E">
        <w:rPr>
          <w:b/>
          <w:iCs/>
        </w:rPr>
        <w:t>VEIKLOS SRITIES VERTINIMO METU NUSTATYTI KORUPCIJOS RIZIKOS</w:t>
      </w:r>
    </w:p>
    <w:p w:rsidR="00696D04" w:rsidRPr="00C10C8E" w:rsidRDefault="00696D04" w:rsidP="00DA43A4">
      <w:pPr>
        <w:tabs>
          <w:tab w:val="left" w:pos="567"/>
          <w:tab w:val="left" w:pos="3960"/>
        </w:tabs>
        <w:jc w:val="center"/>
        <w:rPr>
          <w:b/>
          <w:iCs/>
        </w:rPr>
      </w:pPr>
      <w:r w:rsidRPr="00C10C8E">
        <w:rPr>
          <w:b/>
          <w:iCs/>
        </w:rPr>
        <w:t>VEIKSNIAI</w:t>
      </w:r>
    </w:p>
    <w:p w:rsidR="00C12C46" w:rsidRPr="00C10C8E" w:rsidRDefault="00C12C46" w:rsidP="00DA43A4">
      <w:pPr>
        <w:tabs>
          <w:tab w:val="left" w:pos="567"/>
          <w:tab w:val="left" w:pos="3960"/>
        </w:tabs>
        <w:jc w:val="center"/>
        <w:rPr>
          <w:iCs/>
        </w:rPr>
      </w:pPr>
    </w:p>
    <w:p w:rsidR="00C12C46" w:rsidRPr="00C10C8E" w:rsidRDefault="00F40F5D" w:rsidP="00DA43A4">
      <w:pPr>
        <w:tabs>
          <w:tab w:val="left" w:pos="993"/>
          <w:tab w:val="left" w:pos="3960"/>
        </w:tabs>
        <w:ind w:firstLine="567"/>
        <w:jc w:val="both"/>
        <w:rPr>
          <w:iCs/>
        </w:rPr>
      </w:pPr>
      <w:r w:rsidRPr="00C10C8E">
        <w:rPr>
          <w:iCs/>
        </w:rPr>
        <w:t xml:space="preserve">Vertinamuoju laikotarpiu galiojo šie </w:t>
      </w:r>
      <w:r w:rsidR="00FF394B" w:rsidRPr="00C10C8E">
        <w:rPr>
          <w:iCs/>
        </w:rPr>
        <w:t xml:space="preserve">pagrindiniai </w:t>
      </w:r>
      <w:r w:rsidR="007C230D" w:rsidRPr="007C230D">
        <w:rPr>
          <w:iCs/>
        </w:rPr>
        <w:t>indėlių draudimo įmokų ir įsipareigojimų investuotoja</w:t>
      </w:r>
      <w:r w:rsidR="007C230D">
        <w:rPr>
          <w:iCs/>
        </w:rPr>
        <w:t xml:space="preserve">ms draudimo įmokų apskaičiavimą </w:t>
      </w:r>
      <w:r w:rsidRPr="00C10C8E">
        <w:rPr>
          <w:iCs/>
        </w:rPr>
        <w:t>reglamentuojantys teisės aktai:</w:t>
      </w:r>
    </w:p>
    <w:p w:rsidR="00C70559" w:rsidRDefault="00C70559" w:rsidP="00DA43A4">
      <w:pPr>
        <w:pStyle w:val="ListParagraph"/>
        <w:numPr>
          <w:ilvl w:val="0"/>
          <w:numId w:val="11"/>
        </w:numPr>
        <w:tabs>
          <w:tab w:val="left" w:pos="567"/>
          <w:tab w:val="left" w:pos="851"/>
          <w:tab w:val="left" w:pos="3960"/>
        </w:tabs>
        <w:ind w:left="0" w:firstLine="567"/>
        <w:jc w:val="both"/>
        <w:rPr>
          <w:iCs/>
        </w:rPr>
      </w:pPr>
      <w:r w:rsidRPr="00C70559">
        <w:rPr>
          <w:iCs/>
        </w:rPr>
        <w:t xml:space="preserve">Lietuvos Respublikos indėlių ir įsipareigojimų </w:t>
      </w:r>
      <w:r>
        <w:rPr>
          <w:iCs/>
        </w:rPr>
        <w:t>investuotojams draudimo įstatymo</w:t>
      </w:r>
      <w:r w:rsidRPr="00C70559">
        <w:rPr>
          <w:iCs/>
        </w:rPr>
        <w:t xml:space="preserve"> (toliau – IĮIDĮ)</w:t>
      </w:r>
      <w:r>
        <w:rPr>
          <w:iCs/>
        </w:rPr>
        <w:t xml:space="preserve"> 12,13, 14 ir 27 straipsniai;</w:t>
      </w:r>
    </w:p>
    <w:p w:rsidR="00AE50F2" w:rsidRDefault="00966866" w:rsidP="00DA43A4">
      <w:pPr>
        <w:pStyle w:val="ListParagraph"/>
        <w:numPr>
          <w:ilvl w:val="0"/>
          <w:numId w:val="11"/>
        </w:numPr>
        <w:tabs>
          <w:tab w:val="left" w:pos="567"/>
          <w:tab w:val="left" w:pos="851"/>
          <w:tab w:val="left" w:pos="3960"/>
        </w:tabs>
        <w:ind w:left="0" w:firstLine="567"/>
        <w:jc w:val="both"/>
        <w:rPr>
          <w:iCs/>
        </w:rPr>
      </w:pPr>
      <w:r>
        <w:rPr>
          <w:iCs/>
        </w:rPr>
        <w:t>I</w:t>
      </w:r>
      <w:r w:rsidRPr="00966866">
        <w:rPr>
          <w:iCs/>
        </w:rPr>
        <w:t>ndėlių ir įsipareigojimų investuotojams draudimo įmokų apskaičiavimo bei mokėjimo taisyklės</w:t>
      </w:r>
      <w:r>
        <w:rPr>
          <w:iCs/>
        </w:rPr>
        <w:t xml:space="preserve">, patvirtintos IID tarybos </w:t>
      </w:r>
      <w:r w:rsidRPr="00966866">
        <w:rPr>
          <w:lang w:eastAsia="lt-LT"/>
        </w:rPr>
        <w:t xml:space="preserve">2015 m. gruodžio 11 d. nutarimu Nr. 02-22-01 </w:t>
      </w:r>
      <w:r w:rsidR="00634806">
        <w:rPr>
          <w:lang w:eastAsia="lt-LT"/>
        </w:rPr>
        <w:t xml:space="preserve">                                                  </w:t>
      </w:r>
      <w:r w:rsidRPr="00966866">
        <w:rPr>
          <w:lang w:eastAsia="lt-LT"/>
        </w:rPr>
        <w:t>(2018 m. birželio 21 d. nutarimo Nr.02-12-2</w:t>
      </w:r>
      <w:r w:rsidR="00634806">
        <w:rPr>
          <w:lang w:eastAsia="lt-LT"/>
        </w:rPr>
        <w:t xml:space="preserve"> </w:t>
      </w:r>
      <w:r w:rsidRPr="00966866">
        <w:rPr>
          <w:lang w:eastAsia="lt-LT"/>
        </w:rPr>
        <w:t>redakcija)</w:t>
      </w:r>
      <w:r>
        <w:rPr>
          <w:lang w:eastAsia="lt-LT"/>
        </w:rPr>
        <w:t xml:space="preserve"> (toliau – Įmokų taisyklės);</w:t>
      </w:r>
    </w:p>
    <w:p w:rsidR="00C70559" w:rsidRDefault="00C70559" w:rsidP="00DA43A4">
      <w:pPr>
        <w:pStyle w:val="ListParagraph"/>
        <w:numPr>
          <w:ilvl w:val="0"/>
          <w:numId w:val="11"/>
        </w:numPr>
        <w:tabs>
          <w:tab w:val="left" w:pos="567"/>
          <w:tab w:val="left" w:pos="851"/>
          <w:tab w:val="left" w:pos="3960"/>
        </w:tabs>
        <w:ind w:left="0" w:firstLine="567"/>
        <w:jc w:val="both"/>
        <w:rPr>
          <w:iCs/>
        </w:rPr>
      </w:pPr>
      <w:r w:rsidRPr="00C70559">
        <w:rPr>
          <w:iCs/>
        </w:rPr>
        <w:t xml:space="preserve">VĮ ,,Indėlių ir investicijų draudimas“ </w:t>
      </w:r>
      <w:r w:rsidR="00AE50F2">
        <w:rPr>
          <w:iCs/>
        </w:rPr>
        <w:t>d</w:t>
      </w:r>
      <w:r w:rsidRPr="00C70559">
        <w:rPr>
          <w:iCs/>
        </w:rPr>
        <w:t>raudimo įmokų apskaičiavimo ir mokėjimo administravimo taisyklės</w:t>
      </w:r>
      <w:r>
        <w:rPr>
          <w:iCs/>
        </w:rPr>
        <w:t xml:space="preserve">, patvirtintos </w:t>
      </w:r>
      <w:r w:rsidR="00AE50F2">
        <w:rPr>
          <w:iCs/>
        </w:rPr>
        <w:t>IID direktoriaus 2018 m. rugsėjo 27 d. įsakymu Nr.V-143 (toliau – Įmokų administravimo taisyklės)</w:t>
      </w:r>
      <w:r w:rsidR="005F0964">
        <w:rPr>
          <w:iCs/>
        </w:rPr>
        <w:t>.</w:t>
      </w:r>
    </w:p>
    <w:p w:rsidR="00B70309" w:rsidRDefault="00FF394B" w:rsidP="00A123B8">
      <w:pPr>
        <w:tabs>
          <w:tab w:val="left" w:pos="851"/>
        </w:tabs>
        <w:ind w:firstLine="567"/>
        <w:jc w:val="both"/>
        <w:rPr>
          <w:iCs/>
        </w:rPr>
      </w:pPr>
      <w:r w:rsidRPr="00C10C8E">
        <w:rPr>
          <w:iCs/>
        </w:rPr>
        <w:t xml:space="preserve">Atlikus </w:t>
      </w:r>
      <w:r w:rsidR="009C2BAF" w:rsidRPr="00CC133A">
        <w:rPr>
          <w:szCs w:val="20"/>
          <w:lang w:eastAsia="lt-LT"/>
        </w:rPr>
        <w:t>indėlių draudimo įmokų ir įsipareigojimų investuotoja</w:t>
      </w:r>
      <w:r w:rsidR="009C2BAF">
        <w:rPr>
          <w:szCs w:val="20"/>
          <w:lang w:eastAsia="lt-LT"/>
        </w:rPr>
        <w:t>ms draudimo įmokų apskaičiavim</w:t>
      </w:r>
      <w:r w:rsidR="009C2BAF" w:rsidRPr="00C10C8E">
        <w:rPr>
          <w:rFonts w:eastAsia="Calibri"/>
        </w:rPr>
        <w:t>ą</w:t>
      </w:r>
      <w:r w:rsidR="009C2BAF" w:rsidRPr="00C10C8E" w:rsidDel="009C2BAF">
        <w:rPr>
          <w:iCs/>
        </w:rPr>
        <w:t xml:space="preserve"> </w:t>
      </w:r>
      <w:r w:rsidRPr="00C10C8E">
        <w:rPr>
          <w:iCs/>
        </w:rPr>
        <w:t xml:space="preserve">reglamentuojančių teisės aktų analizę ir vertinimą, KPTNDG nustatė </w:t>
      </w:r>
      <w:r w:rsidRPr="009B2669">
        <w:rPr>
          <w:iCs/>
        </w:rPr>
        <w:t>korupcijos rizikos veiksnius</w:t>
      </w:r>
      <w:r w:rsidR="00B70309">
        <w:rPr>
          <w:iCs/>
        </w:rPr>
        <w:t>:</w:t>
      </w:r>
    </w:p>
    <w:p w:rsidR="00A14255" w:rsidRDefault="00A14255" w:rsidP="00A123B8">
      <w:pPr>
        <w:pStyle w:val="ListParagraph"/>
        <w:numPr>
          <w:ilvl w:val="0"/>
          <w:numId w:val="26"/>
        </w:numPr>
        <w:tabs>
          <w:tab w:val="left" w:pos="851"/>
        </w:tabs>
        <w:ind w:left="0" w:firstLine="567"/>
        <w:jc w:val="both"/>
        <w:rPr>
          <w:iCs/>
        </w:rPr>
      </w:pPr>
      <w:r w:rsidRPr="00B70309">
        <w:rPr>
          <w:iCs/>
        </w:rPr>
        <w:t>specialiosios (</w:t>
      </w:r>
      <w:r w:rsidRPr="00B70309">
        <w:rPr>
          <w:i/>
          <w:iCs/>
        </w:rPr>
        <w:t>ex post</w:t>
      </w:r>
      <w:r w:rsidRPr="00B70309">
        <w:rPr>
          <w:iCs/>
        </w:rPr>
        <w:t xml:space="preserve">) indėlių draudimo įmokos apskaičiavimo </w:t>
      </w:r>
      <w:r w:rsidR="00FF394B" w:rsidRPr="00B70309">
        <w:rPr>
          <w:iCs/>
        </w:rPr>
        <w:t>srity</w:t>
      </w:r>
      <w:r w:rsidR="005F0964">
        <w:rPr>
          <w:iCs/>
        </w:rPr>
        <w:t>j</w:t>
      </w:r>
      <w:r w:rsidR="00FF394B" w:rsidRPr="00B70309">
        <w:rPr>
          <w:iCs/>
        </w:rPr>
        <w:t>e</w:t>
      </w:r>
      <w:r w:rsidR="00B70309">
        <w:rPr>
          <w:iCs/>
        </w:rPr>
        <w:t>;</w:t>
      </w:r>
    </w:p>
    <w:p w:rsidR="00B70309" w:rsidRDefault="004E5345" w:rsidP="00A123B8">
      <w:pPr>
        <w:pStyle w:val="ListParagraph"/>
        <w:numPr>
          <w:ilvl w:val="0"/>
          <w:numId w:val="26"/>
        </w:numPr>
        <w:tabs>
          <w:tab w:val="left" w:pos="851"/>
        </w:tabs>
        <w:ind w:left="0" w:firstLine="567"/>
        <w:jc w:val="both"/>
        <w:rPr>
          <w:iCs/>
        </w:rPr>
      </w:pPr>
      <w:r w:rsidRPr="004E5345">
        <w:rPr>
          <w:iCs/>
        </w:rPr>
        <w:t xml:space="preserve">prisijungimo prie Elektroninės draudimo įmokų valdymo sistemos ir duomenų įkėlimo į Elektroninę draudimo įmokų valdymo sistemą </w:t>
      </w:r>
      <w:r w:rsidR="00A123B8">
        <w:rPr>
          <w:iCs/>
        </w:rPr>
        <w:t>srityje.</w:t>
      </w:r>
    </w:p>
    <w:p w:rsidR="00A123B8" w:rsidRDefault="00A123B8" w:rsidP="00A123B8">
      <w:pPr>
        <w:pStyle w:val="ListParagraph"/>
        <w:tabs>
          <w:tab w:val="left" w:pos="851"/>
        </w:tabs>
        <w:ind w:left="567"/>
        <w:jc w:val="both"/>
        <w:rPr>
          <w:iCs/>
        </w:rPr>
      </w:pPr>
    </w:p>
    <w:p w:rsidR="00A123B8" w:rsidRDefault="00A123B8" w:rsidP="00A123B8">
      <w:pPr>
        <w:pStyle w:val="ListParagraph"/>
        <w:tabs>
          <w:tab w:val="left" w:pos="851"/>
        </w:tabs>
        <w:ind w:left="0"/>
        <w:jc w:val="center"/>
        <w:rPr>
          <w:b/>
          <w:iCs/>
        </w:rPr>
      </w:pPr>
      <w:r>
        <w:rPr>
          <w:b/>
          <w:iCs/>
        </w:rPr>
        <w:t>K</w:t>
      </w:r>
      <w:r w:rsidRPr="00A123B8">
        <w:rPr>
          <w:b/>
          <w:iCs/>
        </w:rPr>
        <w:t xml:space="preserve">orupcijos rizikos veiksniai </w:t>
      </w:r>
      <w:r w:rsidR="00A14255" w:rsidRPr="00A123B8">
        <w:rPr>
          <w:b/>
          <w:iCs/>
        </w:rPr>
        <w:t>specialiosios (</w:t>
      </w:r>
      <w:r w:rsidR="00A14255" w:rsidRPr="00A123B8">
        <w:rPr>
          <w:b/>
          <w:i/>
          <w:iCs/>
        </w:rPr>
        <w:t>ex post</w:t>
      </w:r>
      <w:r w:rsidR="00A14255" w:rsidRPr="00A123B8">
        <w:rPr>
          <w:b/>
          <w:iCs/>
        </w:rPr>
        <w:t xml:space="preserve">) indėlių draudimo įmokos apskaičiavimo </w:t>
      </w:r>
      <w:r w:rsidR="00FF394B" w:rsidRPr="00A123B8">
        <w:rPr>
          <w:b/>
          <w:iCs/>
        </w:rPr>
        <w:t>srityse</w:t>
      </w:r>
    </w:p>
    <w:p w:rsidR="00A123B8" w:rsidRPr="00A123B8" w:rsidRDefault="00A123B8" w:rsidP="00A123B8">
      <w:pPr>
        <w:pStyle w:val="ListParagraph"/>
        <w:tabs>
          <w:tab w:val="left" w:pos="851"/>
        </w:tabs>
        <w:ind w:left="0"/>
        <w:jc w:val="center"/>
        <w:rPr>
          <w:b/>
          <w:iCs/>
        </w:rPr>
      </w:pPr>
    </w:p>
    <w:p w:rsidR="009C2BAF" w:rsidRPr="009C2BAF" w:rsidRDefault="009C2BAF" w:rsidP="00DA43A4">
      <w:pPr>
        <w:ind w:firstLine="567"/>
        <w:jc w:val="both"/>
        <w:rPr>
          <w:iCs/>
        </w:rPr>
      </w:pPr>
      <w:r w:rsidRPr="009C2BAF">
        <w:rPr>
          <w:iCs/>
        </w:rPr>
        <w:t>IĮIDĮ</w:t>
      </w:r>
      <w:r>
        <w:rPr>
          <w:iCs/>
        </w:rPr>
        <w:t xml:space="preserve"> 13 straipsnio 2 dalyje nustatyta, kad s</w:t>
      </w:r>
      <w:r w:rsidRPr="009C2BAF">
        <w:rPr>
          <w:iCs/>
        </w:rPr>
        <w:t>pecialiąsias (</w:t>
      </w:r>
      <w:r w:rsidRPr="009C2BAF">
        <w:rPr>
          <w:i/>
          <w:iCs/>
        </w:rPr>
        <w:t>ex post</w:t>
      </w:r>
      <w:r w:rsidRPr="009C2BAF">
        <w:rPr>
          <w:iCs/>
        </w:rPr>
        <w:t xml:space="preserve">) indėlių draudimo įmokas indėlių draudimo sistemos dalyvis moka, kai yra IĮIDĮ 14 straipsnyje nustatytos sąlygos. </w:t>
      </w:r>
    </w:p>
    <w:p w:rsidR="009C2BAF" w:rsidRPr="00A14255" w:rsidRDefault="009C2BAF" w:rsidP="00DA43A4">
      <w:pPr>
        <w:ind w:firstLine="567"/>
        <w:jc w:val="both"/>
        <w:rPr>
          <w:iCs/>
        </w:rPr>
      </w:pPr>
      <w:r w:rsidRPr="009C2BAF">
        <w:rPr>
          <w:iCs/>
        </w:rPr>
        <w:t>IĮIDĮ</w:t>
      </w:r>
      <w:r>
        <w:rPr>
          <w:iCs/>
        </w:rPr>
        <w:t xml:space="preserve"> 12 straipsnio 1, 2 ir 3 dalyse nustatyta, kad, j</w:t>
      </w:r>
      <w:r w:rsidRPr="009C2BAF">
        <w:rPr>
          <w:iCs/>
        </w:rPr>
        <w:t>ei įvykus indėlių draudžiamajam įvykiui Indėlių draudimo fondo finansinių išteklių nepakanka visoms indėlininkams priklausančioms indėlių draudimo išmokoms išmokėti, indėlių draudimo sistemos dalyviai Indėlių draudimo fondui privalo mokėti specialiąsias (</w:t>
      </w:r>
      <w:r w:rsidRPr="009C2BAF">
        <w:rPr>
          <w:i/>
          <w:iCs/>
        </w:rPr>
        <w:t>ex post</w:t>
      </w:r>
      <w:r w:rsidRPr="009C2BAF">
        <w:rPr>
          <w:iCs/>
        </w:rPr>
        <w:t>) indėlių draudimo įmokas. Indėlių draudimo sistemos dalyvio specialiosios (</w:t>
      </w:r>
      <w:r w:rsidRPr="009C2BAF">
        <w:rPr>
          <w:i/>
          <w:iCs/>
        </w:rPr>
        <w:t xml:space="preserve">ex </w:t>
      </w:r>
      <w:r w:rsidRPr="005F3921">
        <w:rPr>
          <w:i/>
          <w:iCs/>
        </w:rPr>
        <w:t>post</w:t>
      </w:r>
      <w:r w:rsidRPr="005F3921">
        <w:rPr>
          <w:iCs/>
        </w:rPr>
        <w:t xml:space="preserve">) indėlių draudimo įmokos dydis apskaičiuojamas atsižvelgiant į šio įstatymo 12 straipsnio 2 dalyje nurodytus kriterijus </w:t>
      </w:r>
      <w:r w:rsidRPr="00E57344">
        <w:rPr>
          <w:iCs/>
        </w:rPr>
        <w:t xml:space="preserve">ir į sumos, reikalingos draudimo išmokoms </w:t>
      </w:r>
      <w:r w:rsidRPr="00432E41">
        <w:rPr>
          <w:iCs/>
        </w:rPr>
        <w:t>indėlininkams išmokėti, ir Indėlių draudimo fondo turimų finansinių išteklių skirtumą. Bendrą visų indėlių draudimo sistemos dalyvių mokėtiną specialiosios (</w:t>
      </w:r>
      <w:r w:rsidRPr="00432E41">
        <w:rPr>
          <w:i/>
          <w:iCs/>
        </w:rPr>
        <w:t>ex post</w:t>
      </w:r>
      <w:r w:rsidRPr="00A14255">
        <w:rPr>
          <w:iCs/>
        </w:rPr>
        <w:t xml:space="preserve">) indėlių draudimo įmokos sumą, gavusi priežiūros institucijos išvadą, nustato draudimo įmonės savininko teises ir pareigas įgyvendinanti institucija. </w:t>
      </w:r>
    </w:p>
    <w:p w:rsidR="005F3921" w:rsidRPr="00A14255" w:rsidRDefault="009C2BAF" w:rsidP="00D55B4C">
      <w:pPr>
        <w:tabs>
          <w:tab w:val="left" w:pos="567"/>
          <w:tab w:val="left" w:pos="8789"/>
          <w:tab w:val="left" w:pos="9498"/>
          <w:tab w:val="left" w:pos="9639"/>
        </w:tabs>
        <w:ind w:right="-2" w:firstLine="567"/>
        <w:jc w:val="both"/>
        <w:rPr>
          <w:color w:val="000000"/>
        </w:rPr>
      </w:pPr>
      <w:r w:rsidRPr="00A14255">
        <w:rPr>
          <w:iCs/>
        </w:rPr>
        <w:t>IĮIDĮ</w:t>
      </w:r>
      <w:r w:rsidR="005F3921" w:rsidRPr="00A14255">
        <w:rPr>
          <w:iCs/>
        </w:rPr>
        <w:t xml:space="preserve"> 36</w:t>
      </w:r>
      <w:r w:rsidRPr="00A14255">
        <w:rPr>
          <w:iCs/>
        </w:rPr>
        <w:t xml:space="preserve"> straipsnio</w:t>
      </w:r>
      <w:r w:rsidR="005F3921" w:rsidRPr="00A14255">
        <w:rPr>
          <w:iCs/>
        </w:rPr>
        <w:t xml:space="preserve"> 2 dalyje nustatyta, kad </w:t>
      </w:r>
      <w:r w:rsidR="005F3921" w:rsidRPr="00A14255">
        <w:t xml:space="preserve">IID savininko teises ir pareigas įgyvendina Lietuvos Respublikos finansų ministerija. </w:t>
      </w:r>
    </w:p>
    <w:p w:rsidR="009C2BAF" w:rsidRPr="00432E41" w:rsidRDefault="009C2BAF" w:rsidP="00D55B4C">
      <w:pPr>
        <w:ind w:firstLine="567"/>
        <w:jc w:val="both"/>
        <w:rPr>
          <w:iCs/>
        </w:rPr>
      </w:pPr>
      <w:r w:rsidRPr="005F3921">
        <w:rPr>
          <w:iCs/>
        </w:rPr>
        <w:t xml:space="preserve">IĮIDĮ 12 straipsnio 9 dalyje nustatyta, kad </w:t>
      </w:r>
      <w:r w:rsidR="00A14255">
        <w:rPr>
          <w:iCs/>
        </w:rPr>
        <w:t>p</w:t>
      </w:r>
      <w:r w:rsidRPr="005F3921">
        <w:rPr>
          <w:iCs/>
        </w:rPr>
        <w:t>eriodinių (</w:t>
      </w:r>
      <w:r w:rsidRPr="005F3921">
        <w:rPr>
          <w:i/>
          <w:iCs/>
        </w:rPr>
        <w:t>e</w:t>
      </w:r>
      <w:r w:rsidRPr="005F3921">
        <w:rPr>
          <w:bCs/>
          <w:i/>
          <w:iCs/>
        </w:rPr>
        <w:t>x ante</w:t>
      </w:r>
      <w:r w:rsidRPr="00E57344">
        <w:rPr>
          <w:bCs/>
          <w:iCs/>
        </w:rPr>
        <w:t>)</w:t>
      </w:r>
      <w:r w:rsidRPr="00E57344">
        <w:rPr>
          <w:iCs/>
        </w:rPr>
        <w:t xml:space="preserve"> ir specialiųjų (</w:t>
      </w:r>
      <w:r w:rsidRPr="00E57344">
        <w:rPr>
          <w:i/>
          <w:iCs/>
        </w:rPr>
        <w:t>ex post</w:t>
      </w:r>
      <w:r w:rsidRPr="00E57344">
        <w:rPr>
          <w:iCs/>
        </w:rPr>
        <w:t xml:space="preserve">) indėlių </w:t>
      </w:r>
      <w:r w:rsidRPr="00432E41">
        <w:rPr>
          <w:iCs/>
        </w:rPr>
        <w:t>draudimo įmokų ir pirmųjų (avansinių) draudimo įmokų apskaičiavimo ir mokėjimo tvarką bei terminus, vadovaudamasi IĮIDĮ ir kitais teisės aktais, nustato ir IID interneto svetainėje skelbia IID taryba.</w:t>
      </w:r>
    </w:p>
    <w:p w:rsidR="00432E41" w:rsidRDefault="00432E41" w:rsidP="00D55B4C">
      <w:pPr>
        <w:ind w:firstLine="567"/>
        <w:jc w:val="both"/>
        <w:rPr>
          <w:iCs/>
        </w:rPr>
      </w:pPr>
      <w:r>
        <w:rPr>
          <w:iCs/>
        </w:rPr>
        <w:lastRenderedPageBreak/>
        <w:t xml:space="preserve">Įmokų taisyklėse (V skyrius) nustatyta – </w:t>
      </w:r>
      <w:r w:rsidRPr="00432E41">
        <w:rPr>
          <w:iCs/>
        </w:rPr>
        <w:t xml:space="preserve">tuo atveju, jei įvyksta indėlių draudžiamasis įvykis ir draudimo įmonė nustato, kad Indėlių draudimo fondo turimų finansinių išteklių nepakanka visoms indėlininkams priklausančioms indėlių draudimo išmokoms išmokėti, </w:t>
      </w:r>
      <w:r w:rsidR="001A0480">
        <w:rPr>
          <w:iCs/>
        </w:rPr>
        <w:t>IID</w:t>
      </w:r>
      <w:r w:rsidRPr="00432E41">
        <w:rPr>
          <w:iCs/>
        </w:rPr>
        <w:t xml:space="preserve"> ne vėliau kaip kitą darbo dieną po draudžiamojo įvykio dienos raštu informuoja </w:t>
      </w:r>
      <w:r w:rsidR="001A0480">
        <w:rPr>
          <w:iCs/>
        </w:rPr>
        <w:t>IID</w:t>
      </w:r>
      <w:r w:rsidRPr="00432E41">
        <w:rPr>
          <w:iCs/>
        </w:rPr>
        <w:t xml:space="preserve"> savininko teises ir pareigas įgyvendinančią instituciją </w:t>
      </w:r>
      <w:r w:rsidRPr="00A14255">
        <w:rPr>
          <w:iCs/>
        </w:rPr>
        <w:t xml:space="preserve">bei priežiūros instituciją apie trūkstamą lėšų sumą indėlių draudimo išmokoms išmokėti. Nustatant trūkstamą lėšų sumą indėlių draudimo išmokoms išmokėti, įvertinamos Indėlių draudimo fondo artimiausių 12 mėnesių įplaukos (gautinos draudimo įmokos, gautinos lėšos iš administruojamų bankroto procesų ir kt.) ir išlaidos (fondo administravimo išlaidos, lėšos numatytos draudimo išmokoms mokėti, lėšos numatytos pervesti kitai Indėlių garantijų sistemai dėl dalyvio pasitraukimo ir kt.). </w:t>
      </w:r>
      <w:r w:rsidR="001A0480">
        <w:rPr>
          <w:iCs/>
        </w:rPr>
        <w:t>IID</w:t>
      </w:r>
      <w:r w:rsidRPr="00A14255">
        <w:rPr>
          <w:iCs/>
        </w:rPr>
        <w:t xml:space="preserve"> savininko teises ir pareigas įgyvendinančiai institucijai nustačius bendrą visų indėlių draudimo sistemos dalyvių (išskyrus dalyvį, kuriam įvyko indėlių draudžiamasis įvykis) mokėtiną specialiosios </w:t>
      </w:r>
      <w:r w:rsidRPr="00A14255">
        <w:rPr>
          <w:i/>
          <w:iCs/>
        </w:rPr>
        <w:t>(ex post)</w:t>
      </w:r>
      <w:r w:rsidRPr="00A14255">
        <w:rPr>
          <w:iCs/>
        </w:rPr>
        <w:t xml:space="preserve"> indėlių draudimo įmokos sumą, </w:t>
      </w:r>
      <w:r w:rsidR="001A0480">
        <w:rPr>
          <w:iCs/>
        </w:rPr>
        <w:t>IID</w:t>
      </w:r>
      <w:r w:rsidRPr="00A14255">
        <w:rPr>
          <w:iCs/>
        </w:rPr>
        <w:t xml:space="preserve"> ne vėliau kaip kitą darbo dieną informuoja kiekvieną indėlių draudimo sistemos dalyvį apie jo mokėtinos specialiosios </w:t>
      </w:r>
      <w:r w:rsidRPr="00A14255">
        <w:rPr>
          <w:i/>
          <w:iCs/>
        </w:rPr>
        <w:t>(ex post)</w:t>
      </w:r>
      <w:r w:rsidRPr="00A14255">
        <w:rPr>
          <w:iCs/>
        </w:rPr>
        <w:t xml:space="preserve"> indėlių draudimo įmokos dydį. </w:t>
      </w:r>
      <w:r w:rsidR="001A0480">
        <w:rPr>
          <w:iCs/>
        </w:rPr>
        <w:t>IID</w:t>
      </w:r>
      <w:r w:rsidRPr="00A14255">
        <w:rPr>
          <w:iCs/>
        </w:rPr>
        <w:t xml:space="preserve"> apskaičiuoja kiekvieno indėlių draudimo sistemos dalyvio (išskyrus</w:t>
      </w:r>
      <w:r w:rsidRPr="00A14255">
        <w:rPr>
          <w:b/>
          <w:iCs/>
        </w:rPr>
        <w:t xml:space="preserve"> </w:t>
      </w:r>
      <w:r w:rsidRPr="00A14255">
        <w:rPr>
          <w:iCs/>
        </w:rPr>
        <w:t xml:space="preserve">dalyvį, kuriam įvyko indėlių draudžiamasis įvykis) mokėtinos specialiosios </w:t>
      </w:r>
      <w:r w:rsidRPr="00A14255">
        <w:rPr>
          <w:i/>
          <w:iCs/>
        </w:rPr>
        <w:t>(ex post)</w:t>
      </w:r>
      <w:r w:rsidRPr="00A14255">
        <w:rPr>
          <w:iCs/>
        </w:rPr>
        <w:t xml:space="preserve"> indėlių draudimo įmokos dydį. Specialioji (ex post) indėlių draudimo įmoka kiekvienam indėlių draudimo sistemos dalyviui  apskaičiuojama pagal formulę.</w:t>
      </w:r>
    </w:p>
    <w:p w:rsidR="00A14255" w:rsidRPr="00DA43A4" w:rsidRDefault="00A14255" w:rsidP="00D55B4C">
      <w:pPr>
        <w:tabs>
          <w:tab w:val="left" w:pos="851"/>
        </w:tabs>
        <w:ind w:firstLine="567"/>
        <w:jc w:val="both"/>
        <w:rPr>
          <w:iCs/>
        </w:rPr>
      </w:pPr>
      <w:r w:rsidRPr="00A14255">
        <w:rPr>
          <w:iCs/>
        </w:rPr>
        <w:t xml:space="preserve">KPTNDG </w:t>
      </w:r>
      <w:r w:rsidR="00160208">
        <w:rPr>
          <w:iCs/>
        </w:rPr>
        <w:t>nustatė</w:t>
      </w:r>
      <w:r w:rsidRPr="00A14255">
        <w:rPr>
          <w:iCs/>
        </w:rPr>
        <w:t>,</w:t>
      </w:r>
      <w:r>
        <w:rPr>
          <w:iCs/>
        </w:rPr>
        <w:t xml:space="preserve"> kad Įmokų taisyklėse </w:t>
      </w:r>
      <w:r w:rsidRPr="00D55B4C">
        <w:rPr>
          <w:b/>
          <w:iCs/>
          <w:u w:val="single"/>
        </w:rPr>
        <w:t>nėra tinkamai</w:t>
      </w:r>
      <w:r>
        <w:rPr>
          <w:iCs/>
        </w:rPr>
        <w:t xml:space="preserve"> reglamentuotas </w:t>
      </w:r>
      <w:r w:rsidRPr="00A14255">
        <w:rPr>
          <w:iCs/>
        </w:rPr>
        <w:t>IĮIDĮ</w:t>
      </w:r>
      <w:r>
        <w:rPr>
          <w:iCs/>
        </w:rPr>
        <w:t xml:space="preserve"> nuostatų, susijusių </w:t>
      </w:r>
      <w:r w:rsidR="00160208">
        <w:rPr>
          <w:iCs/>
        </w:rPr>
        <w:t xml:space="preserve">su </w:t>
      </w:r>
      <w:r w:rsidRPr="00A14255">
        <w:rPr>
          <w:iCs/>
        </w:rPr>
        <w:t>specialiosios (</w:t>
      </w:r>
      <w:r w:rsidRPr="00A14255">
        <w:rPr>
          <w:i/>
          <w:iCs/>
        </w:rPr>
        <w:t>ex post</w:t>
      </w:r>
      <w:r w:rsidRPr="00A14255">
        <w:rPr>
          <w:iCs/>
        </w:rPr>
        <w:t xml:space="preserve">) </w:t>
      </w:r>
      <w:r w:rsidRPr="00DA43A4">
        <w:rPr>
          <w:iCs/>
        </w:rPr>
        <w:t>indėlių draudimo įmokos apskaičiavimu, įgyvendinimas</w:t>
      </w:r>
      <w:r w:rsidR="00DA43A4">
        <w:rPr>
          <w:iCs/>
        </w:rPr>
        <w:t>:</w:t>
      </w:r>
    </w:p>
    <w:p w:rsidR="00160208" w:rsidRDefault="00DA43A4" w:rsidP="00D55B4C">
      <w:pPr>
        <w:pStyle w:val="ListParagraph"/>
        <w:numPr>
          <w:ilvl w:val="0"/>
          <w:numId w:val="22"/>
        </w:numPr>
        <w:tabs>
          <w:tab w:val="left" w:pos="851"/>
        </w:tabs>
        <w:ind w:left="0" w:firstLine="567"/>
        <w:jc w:val="both"/>
        <w:rPr>
          <w:iCs/>
        </w:rPr>
      </w:pPr>
      <w:r w:rsidRPr="00DA43A4">
        <w:rPr>
          <w:iCs/>
        </w:rPr>
        <w:t>IĮIDĮ 12 straipsnio 3 dalyse nustatyta, kad</w:t>
      </w:r>
      <w:r>
        <w:rPr>
          <w:iCs/>
        </w:rPr>
        <w:t xml:space="preserve"> b</w:t>
      </w:r>
      <w:r w:rsidRPr="00DA43A4">
        <w:rPr>
          <w:iCs/>
        </w:rPr>
        <w:t>endrą visų indėlių draudimo sistemos dalyvių mokėtiną specialiosios (</w:t>
      </w:r>
      <w:r w:rsidRPr="00DA43A4">
        <w:rPr>
          <w:i/>
          <w:iCs/>
        </w:rPr>
        <w:t>ex post</w:t>
      </w:r>
      <w:r w:rsidRPr="00DA43A4">
        <w:rPr>
          <w:iCs/>
        </w:rPr>
        <w:t xml:space="preserve">) indėlių draudimo įmokos sumą, gavusi priežiūros institucijos išvadą, nustato </w:t>
      </w:r>
      <w:r w:rsidR="00934203">
        <w:rPr>
          <w:iCs/>
        </w:rPr>
        <w:t>IID</w:t>
      </w:r>
      <w:r w:rsidRPr="00DA43A4">
        <w:rPr>
          <w:iCs/>
        </w:rPr>
        <w:t xml:space="preserve"> savininko teises ir pareigas įgyvendinanti institucija. IĮIDĮ</w:t>
      </w:r>
      <w:r>
        <w:rPr>
          <w:iCs/>
        </w:rPr>
        <w:t xml:space="preserve"> nedetalizuojamos </w:t>
      </w:r>
      <w:r w:rsidRPr="00DA43A4">
        <w:rPr>
          <w:iCs/>
        </w:rPr>
        <w:t>b</w:t>
      </w:r>
      <w:r>
        <w:rPr>
          <w:iCs/>
        </w:rPr>
        <w:t>endros</w:t>
      </w:r>
      <w:r w:rsidRPr="00DA43A4">
        <w:rPr>
          <w:iCs/>
        </w:rPr>
        <w:t xml:space="preserve"> visų indėlių draudimo </w:t>
      </w:r>
      <w:r>
        <w:rPr>
          <w:iCs/>
        </w:rPr>
        <w:t>sistemos dalyvių mokėtinos</w:t>
      </w:r>
      <w:r w:rsidRPr="00DA43A4">
        <w:rPr>
          <w:iCs/>
        </w:rPr>
        <w:t xml:space="preserve"> specialiosios (</w:t>
      </w:r>
      <w:r w:rsidRPr="00DA43A4">
        <w:rPr>
          <w:i/>
          <w:iCs/>
        </w:rPr>
        <w:t>ex post</w:t>
      </w:r>
      <w:r w:rsidRPr="00DA43A4">
        <w:rPr>
          <w:iCs/>
        </w:rPr>
        <w:t xml:space="preserve">) indėlių draudimo </w:t>
      </w:r>
      <w:r>
        <w:rPr>
          <w:iCs/>
        </w:rPr>
        <w:t xml:space="preserve">įmokos sumos nustatymo procedūros. </w:t>
      </w:r>
      <w:r w:rsidR="00160208">
        <w:rPr>
          <w:iCs/>
        </w:rPr>
        <w:t>Tačiau</w:t>
      </w:r>
      <w:r w:rsidR="00160208" w:rsidRPr="00DA43A4">
        <w:rPr>
          <w:iCs/>
        </w:rPr>
        <w:t xml:space="preserve"> Įmokų taisyklėse</w:t>
      </w:r>
      <w:r w:rsidR="00160208">
        <w:rPr>
          <w:iCs/>
        </w:rPr>
        <w:t xml:space="preserve"> nedetalizuojama:</w:t>
      </w:r>
    </w:p>
    <w:p w:rsidR="00160208" w:rsidRDefault="00160208" w:rsidP="00D55B4C">
      <w:pPr>
        <w:pStyle w:val="ListParagraph"/>
        <w:numPr>
          <w:ilvl w:val="0"/>
          <w:numId w:val="23"/>
        </w:numPr>
        <w:tabs>
          <w:tab w:val="left" w:pos="851"/>
        </w:tabs>
        <w:ind w:left="0" w:firstLine="567"/>
        <w:jc w:val="both"/>
        <w:rPr>
          <w:iCs/>
        </w:rPr>
      </w:pPr>
      <w:r>
        <w:rPr>
          <w:iCs/>
        </w:rPr>
        <w:t xml:space="preserve">per kokį terminą </w:t>
      </w:r>
      <w:r w:rsidRPr="00934203">
        <w:rPr>
          <w:iCs/>
        </w:rPr>
        <w:t>priežiūros institucij</w:t>
      </w:r>
      <w:r>
        <w:rPr>
          <w:iCs/>
        </w:rPr>
        <w:t xml:space="preserve">a turi pateikti </w:t>
      </w:r>
      <w:r w:rsidRPr="00934203">
        <w:rPr>
          <w:iCs/>
        </w:rPr>
        <w:t>IID savininko teises ir pareigas įgyvendinanti institucija</w:t>
      </w:r>
      <w:r>
        <w:rPr>
          <w:iCs/>
        </w:rPr>
        <w:t>i išvadą;</w:t>
      </w:r>
    </w:p>
    <w:p w:rsidR="00160208" w:rsidRDefault="00160208" w:rsidP="00D55B4C">
      <w:pPr>
        <w:pStyle w:val="ListParagraph"/>
        <w:numPr>
          <w:ilvl w:val="0"/>
          <w:numId w:val="23"/>
        </w:numPr>
        <w:tabs>
          <w:tab w:val="left" w:pos="851"/>
        </w:tabs>
        <w:ind w:left="0" w:firstLine="567"/>
        <w:jc w:val="both"/>
        <w:rPr>
          <w:iCs/>
        </w:rPr>
      </w:pPr>
      <w:r>
        <w:rPr>
          <w:iCs/>
        </w:rPr>
        <w:t>n</w:t>
      </w:r>
      <w:r w:rsidRPr="00934203">
        <w:rPr>
          <w:iCs/>
        </w:rPr>
        <w:t>enustatytas priežiūros institucijos teikiamos išvados turinys</w:t>
      </w:r>
      <w:r>
        <w:rPr>
          <w:iCs/>
        </w:rPr>
        <w:t xml:space="preserve"> (pavyzdžiui, „teigiama išvada“ arba „neigiama išvada“</w:t>
      </w:r>
      <w:r w:rsidRPr="00934203">
        <w:rPr>
          <w:iCs/>
        </w:rPr>
        <w:t xml:space="preserve">;  </w:t>
      </w:r>
    </w:p>
    <w:p w:rsidR="00160208" w:rsidRPr="001A0480" w:rsidRDefault="00160208" w:rsidP="00D55B4C">
      <w:pPr>
        <w:pStyle w:val="ListParagraph"/>
        <w:numPr>
          <w:ilvl w:val="0"/>
          <w:numId w:val="23"/>
        </w:numPr>
        <w:tabs>
          <w:tab w:val="left" w:pos="851"/>
        </w:tabs>
        <w:ind w:left="0" w:firstLine="567"/>
        <w:jc w:val="both"/>
        <w:rPr>
          <w:iCs/>
        </w:rPr>
      </w:pPr>
      <w:r>
        <w:rPr>
          <w:iCs/>
        </w:rPr>
        <w:t xml:space="preserve">nenustatytas </w:t>
      </w:r>
      <w:r w:rsidRPr="00506B67">
        <w:rPr>
          <w:iCs/>
        </w:rPr>
        <w:t>priežiūros institucijos teikiamos</w:t>
      </w:r>
      <w:r>
        <w:rPr>
          <w:iCs/>
        </w:rPr>
        <w:t xml:space="preserve"> </w:t>
      </w:r>
      <w:r w:rsidRPr="00506B67">
        <w:rPr>
          <w:iCs/>
        </w:rPr>
        <w:t>„</w:t>
      </w:r>
      <w:r>
        <w:rPr>
          <w:iCs/>
        </w:rPr>
        <w:t>teigiama išvados</w:t>
      </w:r>
      <w:r w:rsidRPr="00506B67">
        <w:rPr>
          <w:iCs/>
        </w:rPr>
        <w:t>“ arba „neigiama išvad</w:t>
      </w:r>
      <w:r>
        <w:rPr>
          <w:iCs/>
        </w:rPr>
        <w:t>os</w:t>
      </w:r>
      <w:r w:rsidRPr="00506B67">
        <w:rPr>
          <w:iCs/>
        </w:rPr>
        <w:t xml:space="preserve">“ </w:t>
      </w:r>
      <w:r>
        <w:rPr>
          <w:iCs/>
        </w:rPr>
        <w:t>priėmimo kriterijai;</w:t>
      </w:r>
    </w:p>
    <w:p w:rsidR="00160208" w:rsidRDefault="00160208" w:rsidP="00D55B4C">
      <w:pPr>
        <w:pStyle w:val="ListParagraph"/>
        <w:numPr>
          <w:ilvl w:val="0"/>
          <w:numId w:val="23"/>
        </w:numPr>
        <w:tabs>
          <w:tab w:val="left" w:pos="851"/>
        </w:tabs>
        <w:ind w:left="0" w:firstLine="567"/>
        <w:jc w:val="both"/>
        <w:rPr>
          <w:iCs/>
        </w:rPr>
      </w:pPr>
      <w:r w:rsidRPr="001A0480">
        <w:rPr>
          <w:iCs/>
        </w:rPr>
        <w:t>per kokį terminą</w:t>
      </w:r>
      <w:r>
        <w:rPr>
          <w:iCs/>
        </w:rPr>
        <w:t xml:space="preserve"> </w:t>
      </w:r>
      <w:r w:rsidRPr="001A0480">
        <w:rPr>
          <w:iCs/>
        </w:rPr>
        <w:t xml:space="preserve">IID savininko teises ir pareigas </w:t>
      </w:r>
      <w:r>
        <w:rPr>
          <w:iCs/>
        </w:rPr>
        <w:t xml:space="preserve">įgyvendinančiai institucija priima sprendimą nustatyti </w:t>
      </w:r>
      <w:r w:rsidRPr="001A0480">
        <w:rPr>
          <w:iCs/>
        </w:rPr>
        <w:t>bendr</w:t>
      </w:r>
      <w:r>
        <w:rPr>
          <w:iCs/>
        </w:rPr>
        <w:t>ą</w:t>
      </w:r>
      <w:r w:rsidRPr="001A0480">
        <w:rPr>
          <w:iCs/>
        </w:rPr>
        <w:t xml:space="preserve"> visų indėlių draudimo </w:t>
      </w:r>
      <w:r>
        <w:rPr>
          <w:iCs/>
        </w:rPr>
        <w:t>sistemos dalyvių mokėtiną</w:t>
      </w:r>
      <w:r w:rsidRPr="001A0480">
        <w:rPr>
          <w:iCs/>
        </w:rPr>
        <w:t xml:space="preserve"> specialiosios (</w:t>
      </w:r>
      <w:r w:rsidRPr="001A0480">
        <w:rPr>
          <w:i/>
          <w:iCs/>
        </w:rPr>
        <w:t>ex post</w:t>
      </w:r>
      <w:r w:rsidRPr="001A0480">
        <w:rPr>
          <w:iCs/>
        </w:rPr>
        <w:t xml:space="preserve">) indėlių draudimo </w:t>
      </w:r>
      <w:r>
        <w:rPr>
          <w:iCs/>
        </w:rPr>
        <w:t>įmokos sumą;</w:t>
      </w:r>
    </w:p>
    <w:p w:rsidR="00160208" w:rsidRPr="00160208" w:rsidRDefault="00160208" w:rsidP="00D55B4C">
      <w:pPr>
        <w:pStyle w:val="ListParagraph"/>
        <w:numPr>
          <w:ilvl w:val="0"/>
          <w:numId w:val="23"/>
        </w:numPr>
        <w:tabs>
          <w:tab w:val="left" w:pos="567"/>
          <w:tab w:val="left" w:pos="709"/>
          <w:tab w:val="left" w:pos="851"/>
        </w:tabs>
        <w:ind w:left="0" w:firstLine="567"/>
        <w:jc w:val="both"/>
        <w:rPr>
          <w:iCs/>
        </w:rPr>
      </w:pPr>
      <w:r w:rsidRPr="00160208">
        <w:rPr>
          <w:iCs/>
        </w:rPr>
        <w:t>nenustatytos procedūros (IID ir IID savininko teises ir pareigas įgyvendinančios institucijos teisės, pareigos, veiksmai ir veiksmų atlikimo terminai), kai iš priežiūros institucijos gaunama „neigiama išvada“.</w:t>
      </w:r>
    </w:p>
    <w:p w:rsidR="00D55B4C" w:rsidRDefault="00160208" w:rsidP="00D55B4C">
      <w:pPr>
        <w:pStyle w:val="ListParagraph"/>
        <w:tabs>
          <w:tab w:val="left" w:pos="851"/>
        </w:tabs>
        <w:ind w:left="0" w:firstLine="567"/>
        <w:jc w:val="both"/>
        <w:rPr>
          <w:iCs/>
        </w:rPr>
      </w:pPr>
      <w:r>
        <w:rPr>
          <w:iCs/>
        </w:rPr>
        <w:t xml:space="preserve">2) </w:t>
      </w:r>
      <w:r w:rsidR="00DA43A4" w:rsidRPr="00DA43A4">
        <w:rPr>
          <w:iCs/>
        </w:rPr>
        <w:t>Įmokų taisyklėse</w:t>
      </w:r>
      <w:r w:rsidR="00DA43A4">
        <w:rPr>
          <w:iCs/>
        </w:rPr>
        <w:t xml:space="preserve"> aiškiai aprašyti tik IID atliekami veiksmai ir jų atlikimo terminai</w:t>
      </w:r>
      <w:r>
        <w:rPr>
          <w:iCs/>
        </w:rPr>
        <w:t>, nors b</w:t>
      </w:r>
      <w:r w:rsidRPr="00DA43A4">
        <w:rPr>
          <w:iCs/>
        </w:rPr>
        <w:t>endr</w:t>
      </w:r>
      <w:r>
        <w:rPr>
          <w:iCs/>
        </w:rPr>
        <w:t xml:space="preserve">os </w:t>
      </w:r>
      <w:r w:rsidRPr="00DA43A4">
        <w:rPr>
          <w:iCs/>
        </w:rPr>
        <w:t>visų indėlių draudimo sistemos dalyvių mokėtin</w:t>
      </w:r>
      <w:r>
        <w:rPr>
          <w:iCs/>
        </w:rPr>
        <w:t xml:space="preserve">os </w:t>
      </w:r>
      <w:r w:rsidRPr="00DA43A4">
        <w:rPr>
          <w:iCs/>
        </w:rPr>
        <w:t>specialiosios (</w:t>
      </w:r>
      <w:r w:rsidRPr="00DA43A4">
        <w:rPr>
          <w:i/>
          <w:iCs/>
        </w:rPr>
        <w:t>ex post</w:t>
      </w:r>
      <w:r w:rsidRPr="00DA43A4">
        <w:rPr>
          <w:iCs/>
        </w:rPr>
        <w:t>) indėlių draudimo įmokos nustat</w:t>
      </w:r>
      <w:r>
        <w:rPr>
          <w:iCs/>
        </w:rPr>
        <w:t xml:space="preserve">yme </w:t>
      </w:r>
      <w:r w:rsidRPr="00D55B4C">
        <w:rPr>
          <w:i/>
          <w:iCs/>
        </w:rPr>
        <w:t>de facto ir de jure</w:t>
      </w:r>
      <w:r>
        <w:rPr>
          <w:iCs/>
        </w:rPr>
        <w:t xml:space="preserve"> dalyvauja  P</w:t>
      </w:r>
      <w:r w:rsidRPr="00DA43A4">
        <w:rPr>
          <w:iCs/>
        </w:rPr>
        <w:t>riežiūros institucij</w:t>
      </w:r>
      <w:r>
        <w:rPr>
          <w:iCs/>
        </w:rPr>
        <w:t>a ir IID</w:t>
      </w:r>
      <w:r w:rsidRPr="00DA43A4">
        <w:rPr>
          <w:iCs/>
        </w:rPr>
        <w:t xml:space="preserve"> savininko teises ir pareigas įgyvendinanti institucija</w:t>
      </w:r>
      <w:r>
        <w:rPr>
          <w:iCs/>
        </w:rPr>
        <w:t xml:space="preserve">. </w:t>
      </w:r>
    </w:p>
    <w:p w:rsidR="00160208" w:rsidRPr="00D55B4C" w:rsidRDefault="00160208" w:rsidP="00D55B4C">
      <w:pPr>
        <w:pStyle w:val="ListParagraph"/>
        <w:tabs>
          <w:tab w:val="left" w:pos="851"/>
        </w:tabs>
        <w:ind w:left="0" w:firstLine="567"/>
        <w:jc w:val="both"/>
        <w:rPr>
          <w:b/>
          <w:iCs/>
          <w:u w:val="single"/>
        </w:rPr>
      </w:pPr>
      <w:r w:rsidRPr="00D55B4C">
        <w:rPr>
          <w:b/>
          <w:iCs/>
          <w:u w:val="single"/>
        </w:rPr>
        <w:t xml:space="preserve">Būtina tai detaliai aprašytos Įmokų taisyklėse </w:t>
      </w:r>
      <w:r>
        <w:rPr>
          <w:b/>
          <w:iCs/>
          <w:u w:val="single"/>
        </w:rPr>
        <w:t xml:space="preserve">ir / ar kitame tai reglamentuojančiame </w:t>
      </w:r>
      <w:r w:rsidR="009C5B0F">
        <w:rPr>
          <w:b/>
          <w:iCs/>
          <w:u w:val="single"/>
        </w:rPr>
        <w:t>d</w:t>
      </w:r>
      <w:r>
        <w:rPr>
          <w:b/>
          <w:iCs/>
          <w:u w:val="single"/>
        </w:rPr>
        <w:t xml:space="preserve">okumente </w:t>
      </w:r>
      <w:r w:rsidRPr="00D55B4C">
        <w:rPr>
          <w:b/>
          <w:iCs/>
          <w:u w:val="single"/>
        </w:rPr>
        <w:t>(IĮIDĮ 12 straipsnio 9 dalis).</w:t>
      </w:r>
    </w:p>
    <w:p w:rsidR="00160208" w:rsidRDefault="00160208" w:rsidP="00160208">
      <w:pPr>
        <w:pStyle w:val="ListParagraph"/>
        <w:tabs>
          <w:tab w:val="left" w:pos="851"/>
        </w:tabs>
        <w:ind w:left="567"/>
        <w:jc w:val="both"/>
        <w:rPr>
          <w:iCs/>
        </w:rPr>
      </w:pPr>
    </w:p>
    <w:p w:rsidR="00A123B8" w:rsidRDefault="00A123B8" w:rsidP="00D55B4C">
      <w:pPr>
        <w:jc w:val="center"/>
        <w:rPr>
          <w:iCs/>
        </w:rPr>
      </w:pPr>
      <w:r w:rsidRPr="00A123B8">
        <w:rPr>
          <w:b/>
          <w:iCs/>
        </w:rPr>
        <w:t>Korupcijos rizikos veiksniai</w:t>
      </w:r>
      <w:r w:rsidRPr="00A123B8">
        <w:rPr>
          <w:iCs/>
        </w:rPr>
        <w:t xml:space="preserve"> </w:t>
      </w:r>
      <w:r w:rsidR="004E5345" w:rsidRPr="008A4230">
        <w:rPr>
          <w:b/>
          <w:iCs/>
        </w:rPr>
        <w:t>prisijungimo prie Elektroninės draudimo įmokų valdymo sistemos ir duomenų įkėlimo į Elektroninę draudimo įmokų valdymo sistemą</w:t>
      </w:r>
      <w:r w:rsidR="004E5345" w:rsidRPr="006D5A5E">
        <w:rPr>
          <w:iCs/>
        </w:rPr>
        <w:t xml:space="preserve"> </w:t>
      </w:r>
      <w:r w:rsidRPr="00A123B8">
        <w:rPr>
          <w:b/>
          <w:iCs/>
        </w:rPr>
        <w:t>srityje</w:t>
      </w:r>
    </w:p>
    <w:p w:rsidR="00A123B8" w:rsidRDefault="00A123B8" w:rsidP="009B2669">
      <w:pPr>
        <w:ind w:firstLine="567"/>
        <w:jc w:val="both"/>
        <w:rPr>
          <w:iCs/>
        </w:rPr>
      </w:pPr>
    </w:p>
    <w:p w:rsidR="00A123B8" w:rsidRPr="00A123B8" w:rsidRDefault="00A123B8" w:rsidP="00D55B4C">
      <w:pPr>
        <w:ind w:firstLine="567"/>
        <w:jc w:val="both"/>
        <w:rPr>
          <w:iCs/>
        </w:rPr>
      </w:pPr>
      <w:r>
        <w:rPr>
          <w:iCs/>
        </w:rPr>
        <w:t xml:space="preserve">Įmokų taisyklių 14 punkte nustatyta, kad </w:t>
      </w:r>
      <w:r w:rsidR="00433FC6">
        <w:rPr>
          <w:iCs/>
        </w:rPr>
        <w:t>i</w:t>
      </w:r>
      <w:r w:rsidRPr="00A123B8">
        <w:rPr>
          <w:iCs/>
        </w:rPr>
        <w:t xml:space="preserve">ndėlių draudimo sistemos dalyviai teikia </w:t>
      </w:r>
      <w:r w:rsidR="00433FC6">
        <w:rPr>
          <w:iCs/>
        </w:rPr>
        <w:t>IID</w:t>
      </w:r>
      <w:r w:rsidRPr="00A123B8">
        <w:rPr>
          <w:iCs/>
        </w:rPr>
        <w:t xml:space="preserve"> duomenis apie pagrindinių apdraustųjų indėlių sumą ir pagrindinių apdraustųjų indėlių indėlininkų skaičių, buvusius praėjusio mėnesio paskutinę dieną. Šie duomenys turi būti pateikti iki einamojo mėnesio 10 dienos šių </w:t>
      </w:r>
      <w:r w:rsidR="00433FC6" w:rsidRPr="00433FC6">
        <w:rPr>
          <w:iCs/>
        </w:rPr>
        <w:t xml:space="preserve">Įmokų taisyklių </w:t>
      </w:r>
      <w:r w:rsidRPr="00A123B8">
        <w:rPr>
          <w:iCs/>
        </w:rPr>
        <w:t>48 punkte numatytu būdu.</w:t>
      </w:r>
    </w:p>
    <w:p w:rsidR="00A123B8" w:rsidRPr="00A123B8" w:rsidRDefault="00433FC6" w:rsidP="00D55B4C">
      <w:pPr>
        <w:ind w:firstLine="567"/>
        <w:jc w:val="both"/>
        <w:rPr>
          <w:iCs/>
        </w:rPr>
      </w:pPr>
      <w:r w:rsidRPr="00433FC6">
        <w:rPr>
          <w:iCs/>
        </w:rPr>
        <w:t xml:space="preserve">Įmokų taisyklių </w:t>
      </w:r>
      <w:r>
        <w:rPr>
          <w:iCs/>
        </w:rPr>
        <w:t>29</w:t>
      </w:r>
      <w:r w:rsidRPr="00433FC6">
        <w:rPr>
          <w:iCs/>
        </w:rPr>
        <w:t xml:space="preserve"> punkte nustatyta,</w:t>
      </w:r>
      <w:r>
        <w:rPr>
          <w:iCs/>
        </w:rPr>
        <w:t xml:space="preserve"> kad į</w:t>
      </w:r>
      <w:r w:rsidR="00A123B8" w:rsidRPr="00A123B8">
        <w:rPr>
          <w:iCs/>
        </w:rPr>
        <w:t xml:space="preserve">sipareigojimų investuotojams draudimo sistemos dalyviai privalo pateikti </w:t>
      </w:r>
      <w:r>
        <w:rPr>
          <w:iCs/>
        </w:rPr>
        <w:t>IID</w:t>
      </w:r>
      <w:r w:rsidR="00A123B8" w:rsidRPr="00A123B8">
        <w:rPr>
          <w:iCs/>
        </w:rPr>
        <w:t xml:space="preserve"> duomenis, kuriuose turi būti nurodyta, ar </w:t>
      </w:r>
      <w:r w:rsidR="00A123B8" w:rsidRPr="00A123B8">
        <w:rPr>
          <w:bCs/>
          <w:iCs/>
        </w:rPr>
        <w:t>turi</w:t>
      </w:r>
      <w:r w:rsidR="00A123B8" w:rsidRPr="00A123B8">
        <w:rPr>
          <w:iCs/>
        </w:rPr>
        <w:t xml:space="preserve"> jie </w:t>
      </w:r>
      <w:r w:rsidR="00A123B8" w:rsidRPr="00A123B8">
        <w:rPr>
          <w:bCs/>
          <w:iCs/>
        </w:rPr>
        <w:t>teisę saugoti klientams priklausančius vertybinius popierius ir pinigines lėšas, vykdo  pavedimus klientų sąskaita</w:t>
      </w:r>
      <w:r w:rsidR="00A123B8" w:rsidRPr="00A123B8">
        <w:rPr>
          <w:iCs/>
        </w:rPr>
        <w:t xml:space="preserve">, ir nurodyta per praėjusius kalendorinius metus įvykdytų </w:t>
      </w:r>
      <w:r w:rsidR="00A123B8" w:rsidRPr="00A123B8">
        <w:rPr>
          <w:bCs/>
          <w:iCs/>
        </w:rPr>
        <w:t>pavedimų klientų sąskaita vertė</w:t>
      </w:r>
      <w:r w:rsidR="00A123B8" w:rsidRPr="00A123B8">
        <w:rPr>
          <w:iCs/>
        </w:rPr>
        <w:t xml:space="preserve"> ir apskaičiuotas draudimo </w:t>
      </w:r>
      <w:r w:rsidR="00A123B8" w:rsidRPr="00A123B8">
        <w:rPr>
          <w:iCs/>
        </w:rPr>
        <w:lastRenderedPageBreak/>
        <w:t xml:space="preserve">įmokas. Duomenys turi būti pateikti </w:t>
      </w:r>
      <w:r>
        <w:rPr>
          <w:iCs/>
        </w:rPr>
        <w:t>IID</w:t>
      </w:r>
      <w:r w:rsidR="00A123B8" w:rsidRPr="00A123B8">
        <w:rPr>
          <w:iCs/>
        </w:rPr>
        <w:t xml:space="preserve"> iki kiekvienų metų sausio 10 dienos, </w:t>
      </w:r>
      <w:r w:rsidRPr="00433FC6">
        <w:rPr>
          <w:iCs/>
        </w:rPr>
        <w:t xml:space="preserve">Įmokų taisyklių </w:t>
      </w:r>
      <w:r w:rsidR="00A123B8" w:rsidRPr="00A123B8">
        <w:rPr>
          <w:iCs/>
        </w:rPr>
        <w:t>48</w:t>
      </w:r>
      <w:r w:rsidR="00A123B8" w:rsidRPr="00A123B8">
        <w:rPr>
          <w:b/>
          <w:iCs/>
        </w:rPr>
        <w:t xml:space="preserve"> </w:t>
      </w:r>
      <w:r w:rsidR="00A123B8" w:rsidRPr="00A123B8">
        <w:rPr>
          <w:iCs/>
        </w:rPr>
        <w:t xml:space="preserve">punkte numatytu būdu. Įsteigtos naujos įmonės arba įmonių filialai pirmuosius duomenis pateikia raštu per 5 darbo dienas nuo pranešimo, nurodyto </w:t>
      </w:r>
      <w:r w:rsidRPr="00433FC6">
        <w:rPr>
          <w:iCs/>
        </w:rPr>
        <w:t xml:space="preserve">Įmokų taisyklių </w:t>
      </w:r>
      <w:r w:rsidR="00A123B8" w:rsidRPr="00A123B8">
        <w:rPr>
          <w:iCs/>
        </w:rPr>
        <w:t xml:space="preserve">III skyriuje, gavimo dienos, </w:t>
      </w:r>
      <w:r w:rsidR="00A123B8" w:rsidRPr="00A123B8">
        <w:rPr>
          <w:bCs/>
          <w:iCs/>
        </w:rPr>
        <w:t xml:space="preserve">o įmonės arba įmonių filialai, kuriems buvo laikinai nutrauktas draudimas, atnaujinus draudimą </w:t>
      </w:r>
      <w:r w:rsidR="00A123B8" w:rsidRPr="00A123B8">
        <w:rPr>
          <w:iCs/>
        </w:rPr>
        <w:t>–</w:t>
      </w:r>
      <w:r w:rsidR="00A123B8" w:rsidRPr="00A123B8">
        <w:rPr>
          <w:bCs/>
          <w:iCs/>
        </w:rPr>
        <w:t xml:space="preserve"> per 5 darbo dienas nuo draudimo atnaujinimo dienos.</w:t>
      </w:r>
    </w:p>
    <w:p w:rsidR="00A123B8" w:rsidRDefault="00433FC6" w:rsidP="00D55B4C">
      <w:pPr>
        <w:ind w:firstLine="567"/>
        <w:jc w:val="both"/>
        <w:rPr>
          <w:iCs/>
        </w:rPr>
      </w:pPr>
      <w:r w:rsidRPr="00433FC6">
        <w:rPr>
          <w:iCs/>
        </w:rPr>
        <w:t>Įmokų taisyklių 48 punkte</w:t>
      </w:r>
      <w:r>
        <w:rPr>
          <w:iCs/>
        </w:rPr>
        <w:t xml:space="preserve"> nustatyta, kad </w:t>
      </w:r>
      <w:r w:rsidRPr="00433FC6">
        <w:rPr>
          <w:iCs/>
        </w:rPr>
        <w:t xml:space="preserve">Įmokų taisyklių </w:t>
      </w:r>
      <w:r w:rsidR="00A123B8" w:rsidRPr="00A123B8">
        <w:rPr>
          <w:iCs/>
        </w:rPr>
        <w:t xml:space="preserve">14 ir 29 punktuose nurodytus duomenis, indėlių ir įsipareigojimų investuotojams draudimo fondų dalyviai teikia prisijungę prie </w:t>
      </w:r>
      <w:r>
        <w:rPr>
          <w:iCs/>
        </w:rPr>
        <w:t>IID</w:t>
      </w:r>
      <w:r w:rsidR="00A123B8" w:rsidRPr="00A123B8">
        <w:rPr>
          <w:iCs/>
        </w:rPr>
        <w:t xml:space="preserve"> informacinės sistemos.</w:t>
      </w:r>
    </w:p>
    <w:p w:rsidR="009C5B0F" w:rsidRDefault="00433FC6" w:rsidP="00D55B4C">
      <w:pPr>
        <w:tabs>
          <w:tab w:val="left" w:pos="993"/>
        </w:tabs>
        <w:ind w:firstLine="567"/>
        <w:jc w:val="both"/>
        <w:rPr>
          <w:iCs/>
        </w:rPr>
      </w:pPr>
      <w:r w:rsidRPr="009C5B0F">
        <w:rPr>
          <w:iCs/>
        </w:rPr>
        <w:t>KPTNDG nustatė, k</w:t>
      </w:r>
      <w:r w:rsidRPr="00D613FC">
        <w:rPr>
          <w:iCs/>
        </w:rPr>
        <w:t>ad indėlių ir įsipareigojimų investuotojams draudimo įmokų apskaičiavimo ir mokėjimo administravimui</w:t>
      </w:r>
      <w:r w:rsidR="009C5B0F">
        <w:rPr>
          <w:iCs/>
        </w:rPr>
        <w:t>:</w:t>
      </w:r>
    </w:p>
    <w:p w:rsidR="009C5B0F" w:rsidRPr="009C5B0F" w:rsidRDefault="00433FC6" w:rsidP="00D55B4C">
      <w:pPr>
        <w:pStyle w:val="ListParagraph"/>
        <w:numPr>
          <w:ilvl w:val="0"/>
          <w:numId w:val="28"/>
        </w:numPr>
        <w:tabs>
          <w:tab w:val="left" w:pos="993"/>
        </w:tabs>
        <w:ind w:left="0" w:firstLine="567"/>
        <w:jc w:val="both"/>
        <w:rPr>
          <w:iCs/>
        </w:rPr>
      </w:pPr>
      <w:r w:rsidRPr="009C5B0F">
        <w:rPr>
          <w:iCs/>
        </w:rPr>
        <w:t>IID naudoja Elektroninę draudimo įmokų valdymo sistemą</w:t>
      </w:r>
      <w:r w:rsidR="009C5B0F" w:rsidRPr="009C5B0F">
        <w:rPr>
          <w:iCs/>
        </w:rPr>
        <w:t xml:space="preserve">; </w:t>
      </w:r>
    </w:p>
    <w:p w:rsidR="009C5B0F" w:rsidRDefault="00433FC6" w:rsidP="00D55B4C">
      <w:pPr>
        <w:pStyle w:val="ListParagraph"/>
        <w:numPr>
          <w:ilvl w:val="0"/>
          <w:numId w:val="28"/>
        </w:numPr>
        <w:tabs>
          <w:tab w:val="left" w:pos="993"/>
        </w:tabs>
        <w:ind w:left="0" w:firstLine="567"/>
        <w:jc w:val="both"/>
        <w:rPr>
          <w:iCs/>
        </w:rPr>
      </w:pPr>
      <w:r w:rsidRPr="006F5AF5">
        <w:rPr>
          <w:iCs/>
        </w:rPr>
        <w:t xml:space="preserve">indėlių ir įsipareigojimų investuotojams draudimo </w:t>
      </w:r>
      <w:r w:rsidR="00815F0C" w:rsidRPr="006F5AF5">
        <w:rPr>
          <w:iCs/>
        </w:rPr>
        <w:t xml:space="preserve">sistemų </w:t>
      </w:r>
      <w:r w:rsidRPr="006F5AF5">
        <w:rPr>
          <w:iCs/>
        </w:rPr>
        <w:t xml:space="preserve">dalyviai duomenis IID teikia per IID informacinės sistemos, tačiau Įmokų taisyklėse nėra aprašytos </w:t>
      </w:r>
      <w:r w:rsidR="00D613FC" w:rsidRPr="00D55B4C">
        <w:rPr>
          <w:iCs/>
        </w:rPr>
        <w:t>prisijungimo prie Elektroninės draudimo įmokų valdymo sistemos ir duomenų įkėlimo į Elektroninę draudimo įmokų valdymo sistemą procedūros (instrukcijos).</w:t>
      </w:r>
      <w:r w:rsidRPr="00D55B4C">
        <w:rPr>
          <w:iCs/>
        </w:rPr>
        <w:t xml:space="preserve"> </w:t>
      </w:r>
    </w:p>
    <w:p w:rsidR="00433FC6" w:rsidRPr="009C5B0F" w:rsidRDefault="00D613FC" w:rsidP="00D55B4C">
      <w:pPr>
        <w:ind w:firstLine="567"/>
        <w:jc w:val="both"/>
        <w:rPr>
          <w:iCs/>
        </w:rPr>
      </w:pPr>
      <w:r w:rsidRPr="009C5B0F">
        <w:rPr>
          <w:iCs/>
        </w:rPr>
        <w:t xml:space="preserve">Todėl indėlių ir įsipareigojimų investuotojams draudimo </w:t>
      </w:r>
      <w:r w:rsidR="00815F0C" w:rsidRPr="009C5B0F">
        <w:rPr>
          <w:iCs/>
        </w:rPr>
        <w:t>sistemų</w:t>
      </w:r>
      <w:r w:rsidRPr="009C5B0F">
        <w:rPr>
          <w:iCs/>
        </w:rPr>
        <w:t xml:space="preserve"> dalyviai iš anksto nežino kokius veiksmus</w:t>
      </w:r>
      <w:r w:rsidR="00815F0C" w:rsidRPr="009C5B0F">
        <w:rPr>
          <w:iCs/>
        </w:rPr>
        <w:t xml:space="preserve"> reikės</w:t>
      </w:r>
      <w:r w:rsidRPr="009C5B0F">
        <w:rPr>
          <w:iCs/>
        </w:rPr>
        <w:t xml:space="preserve"> atlikti norint tinkamai įgyvendinti Įmokų taisyklių 48 punkto reikalavimus. </w:t>
      </w:r>
    </w:p>
    <w:p w:rsidR="00815F0C" w:rsidRDefault="00815F0C" w:rsidP="00D55B4C">
      <w:pPr>
        <w:ind w:firstLine="567"/>
        <w:jc w:val="both"/>
        <w:rPr>
          <w:iCs/>
        </w:rPr>
      </w:pPr>
      <w:r w:rsidRPr="00815F0C">
        <w:rPr>
          <w:iCs/>
        </w:rPr>
        <w:t xml:space="preserve">KPTNDG </w:t>
      </w:r>
      <w:r>
        <w:rPr>
          <w:iCs/>
        </w:rPr>
        <w:t>nustatė, kad FAS darbuotojai kartu su prisijungimo prie Elektroninės</w:t>
      </w:r>
      <w:r w:rsidRPr="00815F0C">
        <w:rPr>
          <w:iCs/>
        </w:rPr>
        <w:t xml:space="preserve"> draudimo įmokų valdymo sistem</w:t>
      </w:r>
      <w:r>
        <w:rPr>
          <w:iCs/>
        </w:rPr>
        <w:t xml:space="preserve">os vardais ir slaptažodžiais </w:t>
      </w:r>
      <w:r w:rsidRPr="00815F0C">
        <w:rPr>
          <w:iCs/>
        </w:rPr>
        <w:t>indėlių ir įsipareigojimų investuotojams draudimo sistemų</w:t>
      </w:r>
      <w:r>
        <w:rPr>
          <w:iCs/>
        </w:rPr>
        <w:t xml:space="preserve"> dalyviams pateikia </w:t>
      </w:r>
      <w:r w:rsidRPr="00815F0C">
        <w:rPr>
          <w:iCs/>
        </w:rPr>
        <w:t>naudojimosi Elektronine draudimo įmokų valdymo sistema instrukciją</w:t>
      </w:r>
      <w:r>
        <w:rPr>
          <w:iCs/>
        </w:rPr>
        <w:t xml:space="preserve">. Tačiau tokia procedūra, nei Įmokų taisyklėse, nei </w:t>
      </w:r>
      <w:r w:rsidRPr="00815F0C">
        <w:rPr>
          <w:iCs/>
        </w:rPr>
        <w:t>Įmokų administravimo taisyklės</w:t>
      </w:r>
      <w:r>
        <w:rPr>
          <w:iCs/>
        </w:rPr>
        <w:t>e neaprašyta.</w:t>
      </w:r>
    </w:p>
    <w:p w:rsidR="00815F0C" w:rsidRDefault="00D613FC" w:rsidP="00D55B4C">
      <w:pPr>
        <w:ind w:firstLine="567"/>
        <w:jc w:val="both"/>
        <w:rPr>
          <w:iCs/>
        </w:rPr>
      </w:pPr>
      <w:r w:rsidRPr="00D613FC">
        <w:rPr>
          <w:iCs/>
        </w:rPr>
        <w:t>KPTNDG</w:t>
      </w:r>
      <w:r w:rsidR="00725A35">
        <w:rPr>
          <w:iCs/>
        </w:rPr>
        <w:t xml:space="preserve"> </w:t>
      </w:r>
      <w:r w:rsidR="00815F0C">
        <w:rPr>
          <w:iCs/>
        </w:rPr>
        <w:t xml:space="preserve">vertinimu, minėtą procedūrą </w:t>
      </w:r>
      <w:r w:rsidR="00815F0C" w:rsidRPr="00D55B4C">
        <w:rPr>
          <w:b/>
          <w:iCs/>
          <w:u w:val="single"/>
        </w:rPr>
        <w:t>būtina</w:t>
      </w:r>
      <w:r w:rsidR="00815F0C">
        <w:rPr>
          <w:iCs/>
        </w:rPr>
        <w:t xml:space="preserve"> formalizuoti (aprašyti </w:t>
      </w:r>
      <w:r w:rsidR="00815F0C" w:rsidRPr="00815F0C">
        <w:rPr>
          <w:iCs/>
        </w:rPr>
        <w:t>Įmokų taisyklėse</w:t>
      </w:r>
      <w:r w:rsidR="00815F0C">
        <w:rPr>
          <w:iCs/>
        </w:rPr>
        <w:t>).</w:t>
      </w:r>
    </w:p>
    <w:p w:rsidR="00A123B8" w:rsidRPr="00D613FC" w:rsidRDefault="00A123B8" w:rsidP="00D55B4C">
      <w:pPr>
        <w:ind w:firstLine="567"/>
        <w:jc w:val="center"/>
        <w:rPr>
          <w:b/>
          <w:iCs/>
        </w:rPr>
      </w:pPr>
    </w:p>
    <w:p w:rsidR="00A123B8" w:rsidRPr="00D613FC" w:rsidRDefault="00D613FC" w:rsidP="00D613FC">
      <w:pPr>
        <w:ind w:firstLine="567"/>
        <w:jc w:val="center"/>
        <w:rPr>
          <w:b/>
          <w:iCs/>
        </w:rPr>
      </w:pPr>
      <w:r w:rsidRPr="00D613FC">
        <w:rPr>
          <w:b/>
          <w:iCs/>
        </w:rPr>
        <w:t>Bendrosios išvados</w:t>
      </w:r>
    </w:p>
    <w:p w:rsidR="00A123B8" w:rsidRPr="00D613FC" w:rsidRDefault="00A123B8" w:rsidP="00D613FC">
      <w:pPr>
        <w:ind w:firstLine="567"/>
        <w:jc w:val="center"/>
        <w:rPr>
          <w:b/>
          <w:iCs/>
        </w:rPr>
      </w:pPr>
    </w:p>
    <w:p w:rsidR="00A14255" w:rsidRDefault="009B2669" w:rsidP="009B2669">
      <w:pPr>
        <w:ind w:firstLine="567"/>
        <w:jc w:val="both"/>
        <w:rPr>
          <w:iCs/>
        </w:rPr>
      </w:pPr>
      <w:r w:rsidRPr="009B2669">
        <w:rPr>
          <w:iCs/>
        </w:rPr>
        <w:t>KPTNDG vertinimu, pagrindiniai indėlių draudimo įmokų ir įsipareigojimų investuotoja</w:t>
      </w:r>
      <w:r>
        <w:rPr>
          <w:iCs/>
        </w:rPr>
        <w:t>ms draudimo įmokų apskaičiavimo srities korupcijos pasireiškimo veiksniai yra šie:</w:t>
      </w:r>
    </w:p>
    <w:p w:rsidR="009B2669" w:rsidRPr="009B2669" w:rsidRDefault="009B2669" w:rsidP="009B2669">
      <w:pPr>
        <w:pStyle w:val="ListParagraph"/>
        <w:numPr>
          <w:ilvl w:val="0"/>
          <w:numId w:val="24"/>
        </w:numPr>
        <w:ind w:left="0" w:firstLine="567"/>
        <w:jc w:val="both"/>
        <w:rPr>
          <w:iCs/>
        </w:rPr>
      </w:pPr>
      <w:r w:rsidRPr="009B2669">
        <w:rPr>
          <w:iCs/>
        </w:rPr>
        <w:t>nustatytas teisinis reguliavimas (Įmokų taisyklėse) nepakankamai reglamentuoja specialiosios (ex post) indėlių draudimo įmokos apskaičiavimo sritį;</w:t>
      </w:r>
    </w:p>
    <w:p w:rsidR="009B2669" w:rsidRPr="004C5B35" w:rsidRDefault="009B2669" w:rsidP="009B2669">
      <w:pPr>
        <w:pStyle w:val="ListParagraph"/>
        <w:tabs>
          <w:tab w:val="left" w:pos="993"/>
        </w:tabs>
        <w:ind w:left="0" w:firstLine="567"/>
        <w:jc w:val="both"/>
        <w:rPr>
          <w:iCs/>
        </w:rPr>
      </w:pPr>
      <w:r w:rsidRPr="004C5B35">
        <w:rPr>
          <w:iCs/>
        </w:rPr>
        <w:t>2)</w:t>
      </w:r>
      <w:r w:rsidRPr="004C5B35">
        <w:rPr>
          <w:iCs/>
        </w:rPr>
        <w:tab/>
        <w:t>nustatytame teisiniame reguliavime (Įmokų taisyklėse) yra spragų, leisiančių dviprasmiškai aiškinti ir taikyti teisės aktą (Įmokų taisykles);</w:t>
      </w:r>
    </w:p>
    <w:p w:rsidR="009B2669" w:rsidRPr="004C5B35" w:rsidRDefault="009B2669" w:rsidP="009B2669">
      <w:pPr>
        <w:pStyle w:val="ListParagraph"/>
        <w:tabs>
          <w:tab w:val="left" w:pos="993"/>
        </w:tabs>
        <w:ind w:left="0" w:firstLine="567"/>
        <w:jc w:val="both"/>
        <w:rPr>
          <w:iCs/>
        </w:rPr>
      </w:pPr>
      <w:r w:rsidRPr="004C5B35">
        <w:rPr>
          <w:iCs/>
        </w:rPr>
        <w:t>3)</w:t>
      </w:r>
      <w:r w:rsidRPr="004C5B35">
        <w:rPr>
          <w:iCs/>
        </w:rPr>
        <w:tab/>
        <w:t>nustatytame teisiniame reguliavime (Įmokų taisyklėse) nepakankamai nustatytos subjektų, su kuriais susijęs teisės akto įgyvendinimas, teisės ir pareigos;</w:t>
      </w:r>
    </w:p>
    <w:p w:rsidR="009B2669" w:rsidRPr="004C5B35" w:rsidRDefault="009B2669" w:rsidP="009B2669">
      <w:pPr>
        <w:pStyle w:val="ListParagraph"/>
        <w:tabs>
          <w:tab w:val="left" w:pos="993"/>
        </w:tabs>
        <w:ind w:left="0" w:firstLine="567"/>
        <w:jc w:val="both"/>
        <w:rPr>
          <w:iCs/>
        </w:rPr>
      </w:pPr>
      <w:r w:rsidRPr="004C5B35">
        <w:rPr>
          <w:iCs/>
        </w:rPr>
        <w:t>4)</w:t>
      </w:r>
      <w:r w:rsidRPr="004C5B35">
        <w:rPr>
          <w:iCs/>
        </w:rPr>
        <w:tab/>
        <w:t xml:space="preserve">nustatytame teisiniame reguliavime (Įmokų taisyklėse – specialiosios (ex post)  indėlių draudimo įmokos apskaičiavimo srityje) </w:t>
      </w:r>
      <w:r w:rsidR="00B70309">
        <w:rPr>
          <w:iCs/>
        </w:rPr>
        <w:t>nenustatyti</w:t>
      </w:r>
      <w:r w:rsidRPr="004C5B35">
        <w:rPr>
          <w:iCs/>
        </w:rPr>
        <w:t xml:space="preserve"> administracinių procedūrų ir sprendimų priėmimo konkretūs terminai.</w:t>
      </w:r>
    </w:p>
    <w:p w:rsidR="00AC5022" w:rsidRPr="00C10C8E" w:rsidRDefault="00AC5022" w:rsidP="00725A35">
      <w:pPr>
        <w:tabs>
          <w:tab w:val="left" w:pos="993"/>
          <w:tab w:val="left" w:pos="3960"/>
        </w:tabs>
        <w:ind w:firstLine="567"/>
        <w:jc w:val="center"/>
        <w:rPr>
          <w:iCs/>
        </w:rPr>
      </w:pPr>
    </w:p>
    <w:p w:rsidR="007A4053" w:rsidRPr="00C10C8E" w:rsidRDefault="007A4053" w:rsidP="00DA43A4">
      <w:pPr>
        <w:pStyle w:val="ListParagraph"/>
        <w:numPr>
          <w:ilvl w:val="0"/>
          <w:numId w:val="13"/>
        </w:numPr>
        <w:tabs>
          <w:tab w:val="left" w:pos="284"/>
          <w:tab w:val="left" w:pos="3960"/>
        </w:tabs>
        <w:jc w:val="center"/>
        <w:rPr>
          <w:b/>
          <w:iCs/>
        </w:rPr>
      </w:pPr>
      <w:r w:rsidRPr="00C10C8E">
        <w:rPr>
          <w:b/>
          <w:bCs/>
          <w:iCs/>
        </w:rPr>
        <w:t>PRIEŽASTYS, DIDINANČIOS KORUPCIJOS PASIREIŠKIMO RIZIKOS LYGĮ</w:t>
      </w:r>
    </w:p>
    <w:p w:rsidR="00746585" w:rsidRPr="00C10C8E" w:rsidRDefault="00746585" w:rsidP="00DA43A4">
      <w:pPr>
        <w:pStyle w:val="ListParagraph"/>
        <w:tabs>
          <w:tab w:val="left" w:pos="993"/>
          <w:tab w:val="left" w:pos="3960"/>
          <w:tab w:val="left" w:pos="4678"/>
        </w:tabs>
        <w:ind w:left="709"/>
        <w:rPr>
          <w:b/>
          <w:iCs/>
        </w:rPr>
      </w:pPr>
    </w:p>
    <w:p w:rsidR="009B2669" w:rsidRPr="009B2669" w:rsidRDefault="004D68BA" w:rsidP="009B2669">
      <w:pPr>
        <w:tabs>
          <w:tab w:val="left" w:pos="993"/>
          <w:tab w:val="left" w:pos="3960"/>
        </w:tabs>
        <w:ind w:firstLine="567"/>
        <w:jc w:val="both"/>
        <w:rPr>
          <w:iCs/>
        </w:rPr>
      </w:pPr>
      <w:r w:rsidRPr="00C10C8E">
        <w:t xml:space="preserve">Atlikto </w:t>
      </w:r>
      <w:r w:rsidR="00D86288" w:rsidRPr="00C10C8E">
        <w:t xml:space="preserve">veiklos vertinimo </w:t>
      </w:r>
      <w:r w:rsidRPr="00C10C8E">
        <w:t xml:space="preserve">metu nustatyta, kad </w:t>
      </w:r>
      <w:r w:rsidR="00FE55FD" w:rsidRPr="00FE55FD">
        <w:t xml:space="preserve">indėlių draudimo įmokų ir įsipareigojimų investuotojams draudimo įmokų apskaičiavimo </w:t>
      </w:r>
      <w:r w:rsidR="007A4053" w:rsidRPr="00C10C8E">
        <w:t>srityje</w:t>
      </w:r>
      <w:r w:rsidR="00FE55FD">
        <w:t xml:space="preserve">, </w:t>
      </w:r>
      <w:r w:rsidR="00FE55FD" w:rsidRPr="00FE55FD">
        <w:t>KPTNDG</w:t>
      </w:r>
      <w:r w:rsidR="00FE55FD">
        <w:t xml:space="preserve"> vertinimu,</w:t>
      </w:r>
      <w:r w:rsidR="00D86288" w:rsidRPr="00C10C8E">
        <w:t xml:space="preserve"> vis tik išlieka rizika pasireikšti korupcijai dėl</w:t>
      </w:r>
      <w:r w:rsidR="009B2669">
        <w:t xml:space="preserve"> to, kad </w:t>
      </w:r>
      <w:r w:rsidR="009B2669" w:rsidRPr="009B2669">
        <w:rPr>
          <w:iCs/>
        </w:rPr>
        <w:t xml:space="preserve">Įmokų taisyklėse nėra tinkamai reglamentuotas IĮIDĮ </w:t>
      </w:r>
      <w:r w:rsidR="009B2669" w:rsidRPr="004C0F85">
        <w:rPr>
          <w:iCs/>
        </w:rPr>
        <w:t>nuostatų, susijusių specialiosios (</w:t>
      </w:r>
      <w:r w:rsidR="009B2669" w:rsidRPr="004C0F85">
        <w:rPr>
          <w:i/>
          <w:iCs/>
        </w:rPr>
        <w:t>ex post</w:t>
      </w:r>
      <w:r w:rsidR="009B2669" w:rsidRPr="004C0F85">
        <w:rPr>
          <w:iCs/>
        </w:rPr>
        <w:t>) indėlių draudimo įmokos apskaičiavimu, įgyvendinimas</w:t>
      </w:r>
      <w:r w:rsidR="00725A35" w:rsidRPr="004C0F85">
        <w:rPr>
          <w:iCs/>
        </w:rPr>
        <w:t xml:space="preserve"> ir naudojimasis Elektronine draudimo įmokų valdymo sistema</w:t>
      </w:r>
      <w:r w:rsidR="009B2669">
        <w:rPr>
          <w:iCs/>
        </w:rPr>
        <w:t>.</w:t>
      </w:r>
      <w:r w:rsidR="0018515B">
        <w:rPr>
          <w:iCs/>
        </w:rPr>
        <w:t xml:space="preserve"> </w:t>
      </w:r>
    </w:p>
    <w:p w:rsidR="007E7917" w:rsidRDefault="007E7917" w:rsidP="00DA43A4">
      <w:pPr>
        <w:pStyle w:val="ListParagraph"/>
        <w:tabs>
          <w:tab w:val="left" w:pos="993"/>
          <w:tab w:val="left" w:pos="3960"/>
        </w:tabs>
        <w:ind w:left="567"/>
        <w:jc w:val="both"/>
        <w:sectPr w:rsidR="007E7917" w:rsidSect="00D55B4C">
          <w:headerReference w:type="default" r:id="rId7"/>
          <w:pgSz w:w="11906" w:h="16838"/>
          <w:pgMar w:top="709" w:right="566" w:bottom="851" w:left="1560" w:header="567" w:footer="567" w:gutter="0"/>
          <w:cols w:space="1296"/>
          <w:titlePg/>
          <w:docGrid w:linePitch="360"/>
        </w:sectPr>
      </w:pPr>
    </w:p>
    <w:p w:rsidR="003B15D8" w:rsidRDefault="003B15D8" w:rsidP="004C0F85">
      <w:pPr>
        <w:pStyle w:val="ListParagraph"/>
        <w:numPr>
          <w:ilvl w:val="0"/>
          <w:numId w:val="13"/>
        </w:numPr>
        <w:tabs>
          <w:tab w:val="left" w:pos="993"/>
          <w:tab w:val="left" w:pos="3960"/>
        </w:tabs>
        <w:ind w:left="1134" w:hanging="567"/>
        <w:jc w:val="center"/>
        <w:rPr>
          <w:b/>
        </w:rPr>
      </w:pPr>
      <w:r w:rsidRPr="00C10C8E">
        <w:rPr>
          <w:b/>
        </w:rPr>
        <w:lastRenderedPageBreak/>
        <w:t>PASIŪLYMAI DĖL KORUPCIJOS RIZIKOS PANAIKINIMO AR SUMAŽINIMO</w:t>
      </w:r>
    </w:p>
    <w:p w:rsidR="007E7917" w:rsidRPr="00C10C8E" w:rsidRDefault="007E7917" w:rsidP="004C0F85">
      <w:pPr>
        <w:pStyle w:val="ListParagraph"/>
        <w:tabs>
          <w:tab w:val="left" w:pos="993"/>
          <w:tab w:val="left" w:pos="3960"/>
        </w:tabs>
        <w:ind w:left="1134"/>
        <w:jc w:val="both"/>
        <w:rPr>
          <w:b/>
        </w:rPr>
      </w:pPr>
    </w:p>
    <w:tbl>
      <w:tblPr>
        <w:tblStyle w:val="TableGrid"/>
        <w:tblW w:w="15309" w:type="dxa"/>
        <w:tblInd w:w="-5" w:type="dxa"/>
        <w:tblLook w:val="04A0" w:firstRow="1" w:lastRow="0" w:firstColumn="1" w:lastColumn="0" w:noHBand="0" w:noVBand="1"/>
      </w:tblPr>
      <w:tblGrid>
        <w:gridCol w:w="8789"/>
        <w:gridCol w:w="1559"/>
        <w:gridCol w:w="2693"/>
        <w:gridCol w:w="2268"/>
      </w:tblGrid>
      <w:tr w:rsidR="00EB2060" w:rsidRPr="00C10C8E" w:rsidTr="004C0F85">
        <w:trPr>
          <w:trHeight w:val="615"/>
        </w:trPr>
        <w:tc>
          <w:tcPr>
            <w:tcW w:w="8789" w:type="dxa"/>
            <w:vAlign w:val="center"/>
          </w:tcPr>
          <w:p w:rsidR="009524DA" w:rsidRPr="00C10C8E" w:rsidRDefault="009524DA" w:rsidP="003266ED">
            <w:pPr>
              <w:tabs>
                <w:tab w:val="left" w:pos="993"/>
                <w:tab w:val="left" w:pos="3960"/>
              </w:tabs>
              <w:jc w:val="center"/>
              <w:rPr>
                <w:b/>
              </w:rPr>
            </w:pPr>
            <w:r w:rsidRPr="00C10C8E">
              <w:rPr>
                <w:b/>
              </w:rPr>
              <w:t>Priemonės</w:t>
            </w:r>
          </w:p>
        </w:tc>
        <w:tc>
          <w:tcPr>
            <w:tcW w:w="1559" w:type="dxa"/>
            <w:vAlign w:val="center"/>
          </w:tcPr>
          <w:p w:rsidR="009524DA" w:rsidRPr="00C10C8E" w:rsidRDefault="009524DA" w:rsidP="003266ED">
            <w:pPr>
              <w:tabs>
                <w:tab w:val="left" w:pos="993"/>
                <w:tab w:val="left" w:pos="3960"/>
              </w:tabs>
              <w:jc w:val="center"/>
              <w:rPr>
                <w:b/>
              </w:rPr>
            </w:pPr>
            <w:r w:rsidRPr="00C10C8E">
              <w:rPr>
                <w:b/>
              </w:rPr>
              <w:t>Įvykdymo laikas</w:t>
            </w:r>
          </w:p>
        </w:tc>
        <w:tc>
          <w:tcPr>
            <w:tcW w:w="2693" w:type="dxa"/>
            <w:vAlign w:val="center"/>
          </w:tcPr>
          <w:p w:rsidR="009524DA" w:rsidRPr="00C10C8E" w:rsidRDefault="009524DA" w:rsidP="003266ED">
            <w:pPr>
              <w:tabs>
                <w:tab w:val="left" w:pos="993"/>
                <w:tab w:val="left" w:pos="3960"/>
              </w:tabs>
              <w:jc w:val="center"/>
              <w:rPr>
                <w:b/>
              </w:rPr>
            </w:pPr>
            <w:r w:rsidRPr="00C10C8E">
              <w:rPr>
                <w:b/>
              </w:rPr>
              <w:t>Laukiami rezultatai</w:t>
            </w:r>
          </w:p>
        </w:tc>
        <w:tc>
          <w:tcPr>
            <w:tcW w:w="2268" w:type="dxa"/>
            <w:vAlign w:val="center"/>
          </w:tcPr>
          <w:p w:rsidR="009524DA" w:rsidRPr="00C10C8E" w:rsidRDefault="009524DA" w:rsidP="003266ED">
            <w:pPr>
              <w:tabs>
                <w:tab w:val="left" w:pos="993"/>
                <w:tab w:val="left" w:pos="3960"/>
              </w:tabs>
              <w:jc w:val="center"/>
              <w:rPr>
                <w:b/>
              </w:rPr>
            </w:pPr>
            <w:r w:rsidRPr="00C10C8E">
              <w:rPr>
                <w:b/>
              </w:rPr>
              <w:t>Vertinimo kriterijus</w:t>
            </w:r>
          </w:p>
        </w:tc>
      </w:tr>
      <w:tr w:rsidR="007F0BEC" w:rsidRPr="00C10C8E" w:rsidTr="004C0F85">
        <w:trPr>
          <w:trHeight w:val="2594"/>
        </w:trPr>
        <w:tc>
          <w:tcPr>
            <w:tcW w:w="8789" w:type="dxa"/>
            <w:vAlign w:val="center"/>
          </w:tcPr>
          <w:p w:rsidR="007E7917" w:rsidRDefault="007F0BEC" w:rsidP="004C0F85">
            <w:pPr>
              <w:pStyle w:val="ListParagraph"/>
              <w:tabs>
                <w:tab w:val="left" w:pos="318"/>
                <w:tab w:val="left" w:pos="2190"/>
                <w:tab w:val="left" w:pos="3960"/>
              </w:tabs>
              <w:ind w:left="34"/>
              <w:jc w:val="both"/>
              <w:rPr>
                <w:iCs/>
              </w:rPr>
            </w:pPr>
            <w:r w:rsidRPr="00C10C8E">
              <w:t>Pakeisti</w:t>
            </w:r>
            <w:r w:rsidR="009B2669" w:rsidRPr="009B2669">
              <w:rPr>
                <w:iCs/>
              </w:rPr>
              <w:t xml:space="preserve"> Įmokų</w:t>
            </w:r>
            <w:r w:rsidR="009B2669">
              <w:rPr>
                <w:iCs/>
              </w:rPr>
              <w:t xml:space="preserve"> taisykles</w:t>
            </w:r>
            <w:r w:rsidR="009C5B0F">
              <w:rPr>
                <w:iCs/>
              </w:rPr>
              <w:t xml:space="preserve"> ir/ar parengti teisės aktą</w:t>
            </w:r>
            <w:r w:rsidR="00744EAA">
              <w:rPr>
                <w:iCs/>
              </w:rPr>
              <w:t>, kuriose</w:t>
            </w:r>
            <w:r w:rsidR="009C5B0F">
              <w:rPr>
                <w:iCs/>
              </w:rPr>
              <w:t>,</w:t>
            </w:r>
            <w:r w:rsidR="00744EAA">
              <w:rPr>
                <w:iCs/>
              </w:rPr>
              <w:t xml:space="preserve"> be kita ko</w:t>
            </w:r>
            <w:r w:rsidR="009C5B0F">
              <w:rPr>
                <w:iCs/>
              </w:rPr>
              <w:t>,</w:t>
            </w:r>
            <w:r w:rsidR="00744EAA">
              <w:rPr>
                <w:iCs/>
              </w:rPr>
              <w:t xml:space="preserve"> būtų </w:t>
            </w:r>
            <w:r w:rsidR="007E7917">
              <w:rPr>
                <w:iCs/>
              </w:rPr>
              <w:t>n</w:t>
            </w:r>
            <w:r w:rsidR="00744EAA" w:rsidRPr="00744EAA">
              <w:rPr>
                <w:iCs/>
              </w:rPr>
              <w:t>ustatyt</w:t>
            </w:r>
            <w:r w:rsidR="007E7917">
              <w:rPr>
                <w:iCs/>
              </w:rPr>
              <w:t>a:</w:t>
            </w:r>
          </w:p>
          <w:p w:rsidR="007E7917" w:rsidRDefault="007E7917" w:rsidP="004C0F85">
            <w:pPr>
              <w:pStyle w:val="ListParagraph"/>
              <w:numPr>
                <w:ilvl w:val="0"/>
                <w:numId w:val="27"/>
              </w:numPr>
              <w:tabs>
                <w:tab w:val="left" w:pos="1026"/>
                <w:tab w:val="left" w:pos="2190"/>
                <w:tab w:val="left" w:pos="3960"/>
              </w:tabs>
              <w:ind w:left="0" w:firstLine="601"/>
              <w:jc w:val="both"/>
            </w:pPr>
            <w:r>
              <w:t>terminas, per kurį priežiūros institucija turi pateikti IID savininko teises ir pareigas įgyvendinanti institucijai išvadą;</w:t>
            </w:r>
          </w:p>
          <w:p w:rsidR="007E7917" w:rsidRDefault="007E7917" w:rsidP="004C0F85">
            <w:pPr>
              <w:pStyle w:val="ListParagraph"/>
              <w:numPr>
                <w:ilvl w:val="0"/>
                <w:numId w:val="27"/>
              </w:numPr>
              <w:tabs>
                <w:tab w:val="left" w:pos="993"/>
                <w:tab w:val="left" w:pos="1026"/>
                <w:tab w:val="left" w:pos="3960"/>
              </w:tabs>
              <w:ind w:left="0" w:firstLine="601"/>
              <w:jc w:val="both"/>
            </w:pPr>
            <w:r>
              <w:t xml:space="preserve">priežiūros institucijos teikiamos išvados turinys (pavyzdžiui, „teigiama išvada“ arba „neigiama išvada“;  </w:t>
            </w:r>
          </w:p>
          <w:p w:rsidR="007E7917" w:rsidRDefault="007E7917" w:rsidP="004C0F85">
            <w:pPr>
              <w:pStyle w:val="ListParagraph"/>
              <w:numPr>
                <w:ilvl w:val="0"/>
                <w:numId w:val="27"/>
              </w:numPr>
              <w:tabs>
                <w:tab w:val="left" w:pos="993"/>
                <w:tab w:val="left" w:pos="1026"/>
                <w:tab w:val="left" w:pos="3960"/>
              </w:tabs>
              <w:ind w:left="0" w:firstLine="601"/>
              <w:jc w:val="both"/>
            </w:pPr>
            <w:r>
              <w:t>priežiūros institucijos teikiamos „teigiama išvados“ arba „neigiama išvados“ priėmimo kriterijai;</w:t>
            </w:r>
          </w:p>
          <w:p w:rsidR="007E7917" w:rsidRDefault="007E7917" w:rsidP="004C0F85">
            <w:pPr>
              <w:pStyle w:val="ListParagraph"/>
              <w:numPr>
                <w:ilvl w:val="0"/>
                <w:numId w:val="27"/>
              </w:numPr>
              <w:tabs>
                <w:tab w:val="left" w:pos="993"/>
                <w:tab w:val="left" w:pos="1026"/>
                <w:tab w:val="left" w:pos="3960"/>
              </w:tabs>
              <w:ind w:left="0" w:firstLine="601"/>
              <w:jc w:val="both"/>
            </w:pPr>
            <w:r>
              <w:t>terminas, per kokį IID savininko teises ir pareigas įgyvendinančiai institucija priima sprendimą nustatyti bendrą visų indėlių draudimo sistemos dalyvių mokėtiną specialiosios (ex post) indėlių draudimo įmokos sumą;</w:t>
            </w:r>
          </w:p>
          <w:p w:rsidR="007E7917" w:rsidRDefault="007E7917" w:rsidP="004C0F85">
            <w:pPr>
              <w:pStyle w:val="ListParagraph"/>
              <w:numPr>
                <w:ilvl w:val="0"/>
                <w:numId w:val="27"/>
              </w:numPr>
              <w:tabs>
                <w:tab w:val="left" w:pos="993"/>
                <w:tab w:val="left" w:pos="1026"/>
                <w:tab w:val="left" w:pos="3960"/>
              </w:tabs>
              <w:ind w:left="0" w:firstLine="601"/>
              <w:jc w:val="both"/>
            </w:pPr>
            <w:r>
              <w:t>procedūros (IID ir IID savininko teises ir pareigas įgyvendinančios institucijos teisės, pareigos, veiksmai ir veiksmų atlikimo terminai), kai iš priežiūros institucijos gaunama „neigiama išvada“;</w:t>
            </w:r>
          </w:p>
          <w:p w:rsidR="007F0BEC" w:rsidRPr="00C10C8E" w:rsidRDefault="007E7917" w:rsidP="004C0F85">
            <w:pPr>
              <w:pStyle w:val="ListParagraph"/>
              <w:numPr>
                <w:ilvl w:val="0"/>
                <w:numId w:val="27"/>
              </w:numPr>
              <w:tabs>
                <w:tab w:val="left" w:pos="1026"/>
              </w:tabs>
              <w:ind w:left="0" w:firstLine="601"/>
              <w:jc w:val="both"/>
            </w:pPr>
            <w:r>
              <w:t xml:space="preserve">procedūros dėl </w:t>
            </w:r>
            <w:r w:rsidR="00AD0D32">
              <w:rPr>
                <w:iCs/>
              </w:rPr>
              <w:t>naudojimosi</w:t>
            </w:r>
            <w:r w:rsidRPr="007E7917">
              <w:rPr>
                <w:iCs/>
              </w:rPr>
              <w:t xml:space="preserve"> Elektronine draudimo įmokų valdymo sistema.</w:t>
            </w:r>
          </w:p>
        </w:tc>
        <w:tc>
          <w:tcPr>
            <w:tcW w:w="1559" w:type="dxa"/>
            <w:vAlign w:val="center"/>
          </w:tcPr>
          <w:p w:rsidR="007F0BEC" w:rsidRPr="00C10C8E" w:rsidRDefault="003266ED" w:rsidP="003266ED">
            <w:pPr>
              <w:tabs>
                <w:tab w:val="left" w:pos="993"/>
                <w:tab w:val="left" w:pos="3960"/>
              </w:tabs>
              <w:jc w:val="center"/>
            </w:pPr>
            <w:r>
              <w:t>Iki 2019 m. I</w:t>
            </w:r>
            <w:r w:rsidR="001B060D" w:rsidRPr="00C10C8E">
              <w:t xml:space="preserve"> ketv.</w:t>
            </w:r>
            <w:r>
              <w:t xml:space="preserve"> pabaigos</w:t>
            </w:r>
          </w:p>
        </w:tc>
        <w:tc>
          <w:tcPr>
            <w:tcW w:w="2693" w:type="dxa"/>
            <w:vAlign w:val="center"/>
          </w:tcPr>
          <w:p w:rsidR="007F0BEC" w:rsidRPr="00C10C8E" w:rsidRDefault="009B2669" w:rsidP="003266ED">
            <w:pPr>
              <w:tabs>
                <w:tab w:val="left" w:pos="993"/>
                <w:tab w:val="left" w:pos="3960"/>
              </w:tabs>
              <w:jc w:val="both"/>
            </w:pPr>
            <w:r>
              <w:t xml:space="preserve">Bus užtikrintas </w:t>
            </w:r>
            <w:r w:rsidRPr="009B2669">
              <w:t>indėlių draudimo įmokų ir įsipareigojimų investuotojams draudimo įmokų apskaičiavimo</w:t>
            </w:r>
            <w:r>
              <w:t xml:space="preserve"> skaidrumas</w:t>
            </w:r>
            <w:r w:rsidR="00F1581C">
              <w:t xml:space="preserve"> ir objektyvumas</w:t>
            </w:r>
            <w:r w:rsidR="00815F0C">
              <w:t>.</w:t>
            </w:r>
          </w:p>
        </w:tc>
        <w:tc>
          <w:tcPr>
            <w:tcW w:w="2268" w:type="dxa"/>
            <w:vAlign w:val="center"/>
          </w:tcPr>
          <w:p w:rsidR="007F0BEC" w:rsidRPr="00C10C8E" w:rsidRDefault="001B060D" w:rsidP="003266ED">
            <w:pPr>
              <w:pStyle w:val="ListParagraph"/>
              <w:tabs>
                <w:tab w:val="left" w:pos="318"/>
                <w:tab w:val="left" w:pos="2190"/>
                <w:tab w:val="left" w:pos="3960"/>
              </w:tabs>
              <w:ind w:left="34"/>
              <w:jc w:val="center"/>
            </w:pPr>
            <w:r w:rsidRPr="00C10C8E">
              <w:t xml:space="preserve">Pakeistos </w:t>
            </w:r>
            <w:r w:rsidR="009B2669" w:rsidRPr="009B2669">
              <w:rPr>
                <w:iCs/>
              </w:rPr>
              <w:t>Įmokų</w:t>
            </w:r>
            <w:r w:rsidR="009B2669">
              <w:rPr>
                <w:iCs/>
              </w:rPr>
              <w:t xml:space="preserve"> </w:t>
            </w:r>
            <w:r w:rsidRPr="00C10C8E">
              <w:rPr>
                <w:iCs/>
              </w:rPr>
              <w:t>taisyklės</w:t>
            </w:r>
            <w:r w:rsidR="00C10C8E">
              <w:rPr>
                <w:iCs/>
              </w:rPr>
              <w:t>.</w:t>
            </w:r>
          </w:p>
        </w:tc>
      </w:tr>
    </w:tbl>
    <w:p w:rsidR="007E7917" w:rsidRPr="00C10C8E" w:rsidRDefault="007E7917" w:rsidP="00DA43A4">
      <w:pPr>
        <w:tabs>
          <w:tab w:val="left" w:pos="993"/>
          <w:tab w:val="left" w:pos="3960"/>
        </w:tabs>
        <w:jc w:val="both"/>
      </w:pPr>
    </w:p>
    <w:p w:rsidR="001B060D" w:rsidRPr="00C10C8E" w:rsidRDefault="001B060D" w:rsidP="00DA43A4">
      <w:pPr>
        <w:tabs>
          <w:tab w:val="left" w:pos="993"/>
          <w:tab w:val="left" w:pos="3960"/>
        </w:tabs>
        <w:jc w:val="both"/>
      </w:pPr>
      <w:r w:rsidRPr="00C10C8E">
        <w:t xml:space="preserve">KPTNDG vadovas Robertas Kvietkovskis </w:t>
      </w:r>
    </w:p>
    <w:p w:rsidR="00F1581C" w:rsidRDefault="00F1581C" w:rsidP="00DA43A4">
      <w:pPr>
        <w:tabs>
          <w:tab w:val="left" w:pos="993"/>
          <w:tab w:val="left" w:pos="3960"/>
        </w:tabs>
        <w:jc w:val="both"/>
      </w:pPr>
    </w:p>
    <w:p w:rsidR="001B060D" w:rsidRPr="00C10C8E" w:rsidRDefault="001B060D" w:rsidP="00DA43A4">
      <w:pPr>
        <w:tabs>
          <w:tab w:val="left" w:pos="993"/>
          <w:tab w:val="left" w:pos="3960"/>
        </w:tabs>
        <w:jc w:val="both"/>
      </w:pPr>
      <w:r w:rsidRPr="00C10C8E">
        <w:t>KPTNDG nariai:</w:t>
      </w:r>
    </w:p>
    <w:p w:rsidR="003266ED" w:rsidRDefault="003266ED" w:rsidP="00DA43A4">
      <w:pPr>
        <w:tabs>
          <w:tab w:val="left" w:pos="993"/>
          <w:tab w:val="left" w:pos="3960"/>
        </w:tabs>
        <w:jc w:val="both"/>
      </w:pPr>
    </w:p>
    <w:p w:rsidR="001B060D" w:rsidRPr="00C10C8E" w:rsidRDefault="001B060D" w:rsidP="00DA43A4">
      <w:pPr>
        <w:tabs>
          <w:tab w:val="left" w:pos="993"/>
          <w:tab w:val="left" w:pos="3960"/>
        </w:tabs>
        <w:jc w:val="both"/>
      </w:pPr>
      <w:r w:rsidRPr="00C10C8E">
        <w:t>Alena Mugenienė</w:t>
      </w:r>
    </w:p>
    <w:p w:rsidR="001B060D" w:rsidRPr="00C10C8E" w:rsidRDefault="001B060D" w:rsidP="00DA43A4">
      <w:pPr>
        <w:tabs>
          <w:tab w:val="left" w:pos="993"/>
          <w:tab w:val="left" w:pos="3960"/>
        </w:tabs>
        <w:jc w:val="both"/>
      </w:pPr>
    </w:p>
    <w:p w:rsidR="00F1581C" w:rsidRDefault="00F1581C" w:rsidP="00DA43A4">
      <w:pPr>
        <w:tabs>
          <w:tab w:val="left" w:pos="993"/>
          <w:tab w:val="left" w:pos="3960"/>
        </w:tabs>
        <w:jc w:val="both"/>
      </w:pPr>
      <w:r>
        <w:t>Gražina Gema Bačiulienė</w:t>
      </w:r>
    </w:p>
    <w:p w:rsidR="00F1581C" w:rsidRDefault="00F1581C" w:rsidP="00DA43A4">
      <w:pPr>
        <w:tabs>
          <w:tab w:val="left" w:pos="993"/>
          <w:tab w:val="left" w:pos="3960"/>
        </w:tabs>
        <w:jc w:val="both"/>
      </w:pPr>
    </w:p>
    <w:p w:rsidR="001B060D" w:rsidRPr="00C10C8E" w:rsidRDefault="001B060D" w:rsidP="00DA43A4">
      <w:pPr>
        <w:tabs>
          <w:tab w:val="left" w:pos="993"/>
          <w:tab w:val="left" w:pos="3960"/>
        </w:tabs>
        <w:jc w:val="both"/>
      </w:pPr>
      <w:r w:rsidRPr="00C10C8E">
        <w:t xml:space="preserve">Eglė Toliūnaitė </w:t>
      </w:r>
    </w:p>
    <w:p w:rsidR="003504B4" w:rsidRDefault="003504B4" w:rsidP="00DA43A4">
      <w:pPr>
        <w:tabs>
          <w:tab w:val="left" w:pos="993"/>
          <w:tab w:val="left" w:pos="3960"/>
        </w:tabs>
        <w:jc w:val="both"/>
      </w:pPr>
    </w:p>
    <w:p w:rsidR="001B060D" w:rsidRPr="00C10C8E" w:rsidRDefault="003504B4" w:rsidP="00DA43A4">
      <w:pPr>
        <w:tabs>
          <w:tab w:val="left" w:pos="993"/>
          <w:tab w:val="left" w:pos="3960"/>
        </w:tabs>
        <w:jc w:val="both"/>
      </w:pPr>
      <w:r w:rsidRPr="003504B4">
        <w:t>Ieva Daukintytė</w:t>
      </w:r>
    </w:p>
    <w:p w:rsidR="001B060D" w:rsidRPr="00C10C8E" w:rsidRDefault="001B060D" w:rsidP="00DA43A4">
      <w:pPr>
        <w:tabs>
          <w:tab w:val="left" w:pos="993"/>
          <w:tab w:val="left" w:pos="3960"/>
        </w:tabs>
        <w:jc w:val="both"/>
      </w:pPr>
    </w:p>
    <w:p w:rsidR="009524DA" w:rsidRPr="00C10C8E" w:rsidRDefault="009524DA" w:rsidP="00DA43A4">
      <w:pPr>
        <w:tabs>
          <w:tab w:val="left" w:pos="993"/>
          <w:tab w:val="left" w:pos="3960"/>
        </w:tabs>
        <w:jc w:val="both"/>
        <w:rPr>
          <w:b/>
        </w:rPr>
      </w:pPr>
    </w:p>
    <w:sectPr w:rsidR="009524DA" w:rsidRPr="00C10C8E" w:rsidSect="004C0F85">
      <w:pgSz w:w="16838" w:h="11906" w:orient="landscape"/>
      <w:pgMar w:top="1135" w:right="1135" w:bottom="566"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75" w:rsidRDefault="00E62B75" w:rsidP="00F330EC">
      <w:r>
        <w:separator/>
      </w:r>
    </w:p>
  </w:endnote>
  <w:endnote w:type="continuationSeparator" w:id="0">
    <w:p w:rsidR="00E62B75" w:rsidRDefault="00E62B75" w:rsidP="00F3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75" w:rsidRDefault="00E62B75" w:rsidP="00F330EC">
      <w:r>
        <w:separator/>
      </w:r>
    </w:p>
  </w:footnote>
  <w:footnote w:type="continuationSeparator" w:id="0">
    <w:p w:rsidR="00E62B75" w:rsidRDefault="00E62B75" w:rsidP="00F33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770649"/>
      <w:docPartObj>
        <w:docPartGallery w:val="Page Numbers (Top of Page)"/>
        <w:docPartUnique/>
      </w:docPartObj>
    </w:sdtPr>
    <w:sdtEndPr/>
    <w:sdtContent>
      <w:p w:rsidR="00F330EC" w:rsidRDefault="00F330EC">
        <w:pPr>
          <w:pStyle w:val="Header"/>
          <w:jc w:val="center"/>
        </w:pPr>
        <w:r>
          <w:fldChar w:fldCharType="begin"/>
        </w:r>
        <w:r>
          <w:instrText>PAGE   \* MERGEFORMAT</w:instrText>
        </w:r>
        <w:r>
          <w:fldChar w:fldCharType="separate"/>
        </w:r>
        <w:r w:rsidR="00C8475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30CB"/>
    <w:multiLevelType w:val="hybridMultilevel"/>
    <w:tmpl w:val="C8F26890"/>
    <w:lvl w:ilvl="0" w:tplc="CC24275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23D1B2E"/>
    <w:multiLevelType w:val="multilevel"/>
    <w:tmpl w:val="C59A1952"/>
    <w:lvl w:ilvl="0">
      <w:start w:val="1"/>
      <w:numFmt w:val="decimal"/>
      <w:lvlText w:val="%1."/>
      <w:lvlJc w:val="left"/>
      <w:pPr>
        <w:ind w:left="927" w:hanging="360"/>
      </w:pPr>
    </w:lvl>
    <w:lvl w:ilvl="1">
      <w:start w:val="1"/>
      <w:numFmt w:val="decimal"/>
      <w:isLgl/>
      <w:lvlText w:val="%1.%2."/>
      <w:lvlJc w:val="left"/>
      <w:pPr>
        <w:ind w:left="928"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2" w15:restartNumberingAfterBreak="0">
    <w:nsid w:val="06855AF9"/>
    <w:multiLevelType w:val="multilevel"/>
    <w:tmpl w:val="86DAFF82"/>
    <w:lvl w:ilvl="0">
      <w:start w:val="1"/>
      <w:numFmt w:val="decimal"/>
      <w:lvlText w:val="%1."/>
      <w:lvlJc w:val="left"/>
      <w:pPr>
        <w:ind w:left="502"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 w15:restartNumberingAfterBreak="0">
    <w:nsid w:val="1378099E"/>
    <w:multiLevelType w:val="multilevel"/>
    <w:tmpl w:val="4FBC4D76"/>
    <w:lvl w:ilvl="0">
      <w:start w:val="1"/>
      <w:numFmt w:val="decimal"/>
      <w:lvlText w:val="%1."/>
      <w:lvlJc w:val="left"/>
      <w:pPr>
        <w:ind w:left="4320" w:hanging="360"/>
      </w:pPr>
      <w:rPr>
        <w:rFonts w:hint="default"/>
        <w:b/>
      </w:rPr>
    </w:lvl>
    <w:lvl w:ilvl="1">
      <w:start w:val="1"/>
      <w:numFmt w:val="decimal"/>
      <w:isLgl/>
      <w:lvlText w:val="%1.%2."/>
      <w:lvlJc w:val="left"/>
      <w:pPr>
        <w:ind w:left="4320" w:hanging="360"/>
      </w:pPr>
      <w:rPr>
        <w:rFonts w:hint="default"/>
        <w:b/>
        <w:color w:val="auto"/>
        <w:sz w:val="22"/>
      </w:rPr>
    </w:lvl>
    <w:lvl w:ilvl="2">
      <w:start w:val="1"/>
      <w:numFmt w:val="decimal"/>
      <w:isLgl/>
      <w:lvlText w:val="%1.%2.%3."/>
      <w:lvlJc w:val="left"/>
      <w:pPr>
        <w:ind w:left="46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14F93965"/>
    <w:multiLevelType w:val="hybridMultilevel"/>
    <w:tmpl w:val="36466F66"/>
    <w:lvl w:ilvl="0" w:tplc="90964B60">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CD13EAE"/>
    <w:multiLevelType w:val="multilevel"/>
    <w:tmpl w:val="45FC2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F14A95"/>
    <w:multiLevelType w:val="hybridMultilevel"/>
    <w:tmpl w:val="03BCC592"/>
    <w:lvl w:ilvl="0" w:tplc="A886AF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228341F6"/>
    <w:multiLevelType w:val="multilevel"/>
    <w:tmpl w:val="A7E485F8"/>
    <w:lvl w:ilvl="0">
      <w:start w:val="2"/>
      <w:numFmt w:val="decimal"/>
      <w:lvlText w:val="%1."/>
      <w:lvlJc w:val="left"/>
      <w:pPr>
        <w:ind w:left="360" w:hanging="360"/>
      </w:pPr>
      <w:rPr>
        <w:rFonts w:hint="default"/>
        <w:b/>
      </w:rPr>
    </w:lvl>
    <w:lvl w:ilvl="1">
      <w:start w:val="1"/>
      <w:numFmt w:val="decimal"/>
      <w:lvlText w:val="%1.%2."/>
      <w:lvlJc w:val="left"/>
      <w:pPr>
        <w:ind w:left="1288" w:hanging="360"/>
      </w:pPr>
      <w:rPr>
        <w:rFonts w:hint="default"/>
        <w:b/>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8" w15:restartNumberingAfterBreak="0">
    <w:nsid w:val="250143A7"/>
    <w:multiLevelType w:val="hybridMultilevel"/>
    <w:tmpl w:val="62D02FF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4B6465"/>
    <w:multiLevelType w:val="hybridMultilevel"/>
    <w:tmpl w:val="1BEA1E7E"/>
    <w:lvl w:ilvl="0" w:tplc="076E576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0457252"/>
    <w:multiLevelType w:val="hybridMultilevel"/>
    <w:tmpl w:val="25FA43C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03462A"/>
    <w:multiLevelType w:val="multilevel"/>
    <w:tmpl w:val="93C21C7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B433E22"/>
    <w:multiLevelType w:val="multilevel"/>
    <w:tmpl w:val="E7DEED72"/>
    <w:lvl w:ilvl="0">
      <w:start w:val="1"/>
      <w:numFmt w:val="decimal"/>
      <w:lvlText w:val="%1."/>
      <w:lvlJc w:val="left"/>
      <w:pPr>
        <w:ind w:left="927" w:hanging="360"/>
      </w:pPr>
    </w:lvl>
    <w:lvl w:ilvl="1">
      <w:start w:val="1"/>
      <w:numFmt w:val="decimal"/>
      <w:isLgl/>
      <w:lvlText w:val="%2."/>
      <w:lvlJc w:val="left"/>
      <w:pPr>
        <w:ind w:left="927" w:hanging="360"/>
      </w:pPr>
      <w:rPr>
        <w:rFonts w:ascii="Times New Roman" w:eastAsia="Calibri" w:hAnsi="Times New Roman" w:cs="Times New Roman"/>
        <w:color w:val="auto"/>
      </w:rPr>
    </w:lvl>
    <w:lvl w:ilvl="2">
      <w:start w:val="1"/>
      <w:numFmt w:val="decimal"/>
      <w:isLgl/>
      <w:lvlText w:val="%1.%2.%3."/>
      <w:lvlJc w:val="left"/>
      <w:pPr>
        <w:ind w:left="1287" w:hanging="720"/>
      </w:pPr>
      <w:rPr>
        <w:color w:val="FF0000"/>
      </w:rPr>
    </w:lvl>
    <w:lvl w:ilvl="3">
      <w:start w:val="1"/>
      <w:numFmt w:val="decimal"/>
      <w:isLgl/>
      <w:lvlText w:val="%1.%2.%3.%4."/>
      <w:lvlJc w:val="left"/>
      <w:pPr>
        <w:ind w:left="1287" w:hanging="720"/>
      </w:pPr>
      <w:rPr>
        <w:color w:val="FF0000"/>
      </w:rPr>
    </w:lvl>
    <w:lvl w:ilvl="4">
      <w:start w:val="1"/>
      <w:numFmt w:val="decimal"/>
      <w:isLgl/>
      <w:lvlText w:val="%1.%2.%3.%4.%5."/>
      <w:lvlJc w:val="left"/>
      <w:pPr>
        <w:ind w:left="1647" w:hanging="1080"/>
      </w:pPr>
      <w:rPr>
        <w:color w:val="FF0000"/>
      </w:rPr>
    </w:lvl>
    <w:lvl w:ilvl="5">
      <w:start w:val="1"/>
      <w:numFmt w:val="decimal"/>
      <w:isLgl/>
      <w:lvlText w:val="%1.%2.%3.%4.%5.%6."/>
      <w:lvlJc w:val="left"/>
      <w:pPr>
        <w:ind w:left="1647" w:hanging="1080"/>
      </w:pPr>
      <w:rPr>
        <w:color w:val="FF0000"/>
      </w:rPr>
    </w:lvl>
    <w:lvl w:ilvl="6">
      <w:start w:val="1"/>
      <w:numFmt w:val="decimal"/>
      <w:isLgl/>
      <w:lvlText w:val="%1.%2.%3.%4.%5.%6.%7."/>
      <w:lvlJc w:val="left"/>
      <w:pPr>
        <w:ind w:left="2007" w:hanging="1440"/>
      </w:pPr>
      <w:rPr>
        <w:color w:val="FF0000"/>
      </w:rPr>
    </w:lvl>
    <w:lvl w:ilvl="7">
      <w:start w:val="1"/>
      <w:numFmt w:val="decimal"/>
      <w:isLgl/>
      <w:lvlText w:val="%1.%2.%3.%4.%5.%6.%7.%8."/>
      <w:lvlJc w:val="left"/>
      <w:pPr>
        <w:ind w:left="2007" w:hanging="1440"/>
      </w:pPr>
      <w:rPr>
        <w:color w:val="FF0000"/>
      </w:rPr>
    </w:lvl>
    <w:lvl w:ilvl="8">
      <w:start w:val="1"/>
      <w:numFmt w:val="decimal"/>
      <w:isLgl/>
      <w:lvlText w:val="%1.%2.%3.%4.%5.%6.%7.%8.%9."/>
      <w:lvlJc w:val="left"/>
      <w:pPr>
        <w:ind w:left="2367" w:hanging="1800"/>
      </w:pPr>
      <w:rPr>
        <w:color w:val="FF0000"/>
      </w:rPr>
    </w:lvl>
  </w:abstractNum>
  <w:abstractNum w:abstractNumId="13" w15:restartNumberingAfterBreak="0">
    <w:nsid w:val="3F6C46DE"/>
    <w:multiLevelType w:val="hybridMultilevel"/>
    <w:tmpl w:val="B262ED4C"/>
    <w:lvl w:ilvl="0" w:tplc="03726E7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4115154F"/>
    <w:multiLevelType w:val="multilevel"/>
    <w:tmpl w:val="A7E485F8"/>
    <w:lvl w:ilvl="0">
      <w:start w:val="2"/>
      <w:numFmt w:val="decimal"/>
      <w:lvlText w:val="%1."/>
      <w:lvlJc w:val="left"/>
      <w:pPr>
        <w:ind w:left="360" w:hanging="360"/>
      </w:pPr>
      <w:rPr>
        <w:rFonts w:hint="default"/>
        <w:b/>
      </w:rPr>
    </w:lvl>
    <w:lvl w:ilvl="1">
      <w:start w:val="1"/>
      <w:numFmt w:val="decimal"/>
      <w:lvlText w:val="%1.%2."/>
      <w:lvlJc w:val="left"/>
      <w:pPr>
        <w:ind w:left="1288" w:hanging="360"/>
      </w:pPr>
      <w:rPr>
        <w:rFonts w:hint="default"/>
        <w:b/>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15" w15:restartNumberingAfterBreak="0">
    <w:nsid w:val="436243EE"/>
    <w:multiLevelType w:val="hybridMultilevel"/>
    <w:tmpl w:val="9ED24A9A"/>
    <w:lvl w:ilvl="0" w:tplc="0AA6D2A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470250E2"/>
    <w:multiLevelType w:val="hybridMultilevel"/>
    <w:tmpl w:val="69F8D95C"/>
    <w:lvl w:ilvl="0" w:tplc="517EC32E">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4EAB4926"/>
    <w:multiLevelType w:val="hybridMultilevel"/>
    <w:tmpl w:val="620AB41A"/>
    <w:lvl w:ilvl="0" w:tplc="B7EA06F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5104484C"/>
    <w:multiLevelType w:val="multilevel"/>
    <w:tmpl w:val="A7E485F8"/>
    <w:lvl w:ilvl="0">
      <w:start w:val="2"/>
      <w:numFmt w:val="decimal"/>
      <w:lvlText w:val="%1."/>
      <w:lvlJc w:val="left"/>
      <w:pPr>
        <w:ind w:left="360" w:hanging="360"/>
      </w:pPr>
      <w:rPr>
        <w:rFonts w:hint="default"/>
        <w:b/>
      </w:rPr>
    </w:lvl>
    <w:lvl w:ilvl="1">
      <w:start w:val="1"/>
      <w:numFmt w:val="decimal"/>
      <w:lvlText w:val="%1.%2."/>
      <w:lvlJc w:val="left"/>
      <w:pPr>
        <w:ind w:left="1288" w:hanging="360"/>
      </w:pPr>
      <w:rPr>
        <w:rFonts w:hint="default"/>
        <w:b/>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19" w15:restartNumberingAfterBreak="0">
    <w:nsid w:val="52AF4A7E"/>
    <w:multiLevelType w:val="hybridMultilevel"/>
    <w:tmpl w:val="BE1CE112"/>
    <w:lvl w:ilvl="0" w:tplc="D4FC5156">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4173AF8"/>
    <w:multiLevelType w:val="hybridMultilevel"/>
    <w:tmpl w:val="41C805D4"/>
    <w:lvl w:ilvl="0" w:tplc="A676A8B2">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1" w15:restartNumberingAfterBreak="0">
    <w:nsid w:val="593C26BE"/>
    <w:multiLevelType w:val="hybridMultilevel"/>
    <w:tmpl w:val="E1389DD0"/>
    <w:lvl w:ilvl="0" w:tplc="A4D28466">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15:restartNumberingAfterBreak="0">
    <w:nsid w:val="627562A9"/>
    <w:multiLevelType w:val="multilevel"/>
    <w:tmpl w:val="2E00312E"/>
    <w:lvl w:ilvl="0">
      <w:start w:val="1"/>
      <w:numFmt w:val="decimal"/>
      <w:lvlText w:val="%1."/>
      <w:lvlJc w:val="left"/>
      <w:pPr>
        <w:ind w:left="987" w:hanging="420"/>
      </w:pPr>
    </w:lvl>
    <w:lvl w:ilvl="1">
      <w:start w:val="1"/>
      <w:numFmt w:val="decimal"/>
      <w:isLgl/>
      <w:lvlText w:val="%1.%2."/>
      <w:lvlJc w:val="left"/>
      <w:pPr>
        <w:ind w:left="928" w:hanging="360"/>
      </w:pPr>
      <w:rPr>
        <w:b/>
      </w:rPr>
    </w:lvl>
    <w:lvl w:ilvl="2">
      <w:start w:val="1"/>
      <w:numFmt w:val="decimalZero"/>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638F437A"/>
    <w:multiLevelType w:val="hybridMultilevel"/>
    <w:tmpl w:val="9A10D9BC"/>
    <w:lvl w:ilvl="0" w:tplc="4CC0CF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68CC35C2"/>
    <w:multiLevelType w:val="hybridMultilevel"/>
    <w:tmpl w:val="3FD2A56E"/>
    <w:lvl w:ilvl="0" w:tplc="804673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72532D63"/>
    <w:multiLevelType w:val="hybridMultilevel"/>
    <w:tmpl w:val="17EC1E50"/>
    <w:lvl w:ilvl="0" w:tplc="04270011">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6" w15:restartNumberingAfterBreak="0">
    <w:nsid w:val="7CC868D6"/>
    <w:multiLevelType w:val="multilevel"/>
    <w:tmpl w:val="C59A1952"/>
    <w:lvl w:ilvl="0">
      <w:start w:val="1"/>
      <w:numFmt w:val="decimal"/>
      <w:lvlText w:val="%1."/>
      <w:lvlJc w:val="left"/>
      <w:pPr>
        <w:ind w:left="927" w:hanging="360"/>
      </w:pPr>
    </w:lvl>
    <w:lvl w:ilvl="1">
      <w:start w:val="1"/>
      <w:numFmt w:val="decimal"/>
      <w:isLgl/>
      <w:lvlText w:val="%1.%2."/>
      <w:lvlJc w:val="left"/>
      <w:pPr>
        <w:ind w:left="928"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27" w15:restartNumberingAfterBreak="0">
    <w:nsid w:val="7DA20099"/>
    <w:multiLevelType w:val="hybridMultilevel"/>
    <w:tmpl w:val="9A483CD0"/>
    <w:lvl w:ilvl="0" w:tplc="D682F5F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3"/>
  </w:num>
  <w:num w:numId="2">
    <w:abstractNumId w:val="13"/>
  </w:num>
  <w:num w:numId="3">
    <w:abstractNumId w:val="17"/>
  </w:num>
  <w:num w:numId="4">
    <w:abstractNumId w:val="5"/>
  </w:num>
  <w:num w:numId="5">
    <w:abstractNumId w:val="0"/>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7"/>
  </w:num>
  <w:num w:numId="16">
    <w:abstractNumId w:val="24"/>
  </w:num>
  <w:num w:numId="17">
    <w:abstractNumId w:val="21"/>
  </w:num>
  <w:num w:numId="18">
    <w:abstractNumId w:val="2"/>
  </w:num>
  <w:num w:numId="19">
    <w:abstractNumId w:val="19"/>
  </w:num>
  <w:num w:numId="20">
    <w:abstractNumId w:val="8"/>
  </w:num>
  <w:num w:numId="21">
    <w:abstractNumId w:val="4"/>
  </w:num>
  <w:num w:numId="22">
    <w:abstractNumId w:val="25"/>
  </w:num>
  <w:num w:numId="23">
    <w:abstractNumId w:val="16"/>
  </w:num>
  <w:num w:numId="24">
    <w:abstractNumId w:val="23"/>
  </w:num>
  <w:num w:numId="25">
    <w:abstractNumId w:val="27"/>
  </w:num>
  <w:num w:numId="26">
    <w:abstractNumId w:val="6"/>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CE"/>
    <w:rsid w:val="00014AE0"/>
    <w:rsid w:val="00026DF2"/>
    <w:rsid w:val="00032E5C"/>
    <w:rsid w:val="00046971"/>
    <w:rsid w:val="0005445C"/>
    <w:rsid w:val="00057889"/>
    <w:rsid w:val="00071E2F"/>
    <w:rsid w:val="00072743"/>
    <w:rsid w:val="00084D5B"/>
    <w:rsid w:val="00091F90"/>
    <w:rsid w:val="000936E4"/>
    <w:rsid w:val="000936E8"/>
    <w:rsid w:val="000961F1"/>
    <w:rsid w:val="000F3934"/>
    <w:rsid w:val="00126CB0"/>
    <w:rsid w:val="001302BD"/>
    <w:rsid w:val="00132978"/>
    <w:rsid w:val="00142060"/>
    <w:rsid w:val="00143F1E"/>
    <w:rsid w:val="00144B0C"/>
    <w:rsid w:val="001468B4"/>
    <w:rsid w:val="00155E15"/>
    <w:rsid w:val="00160208"/>
    <w:rsid w:val="00165387"/>
    <w:rsid w:val="001750C0"/>
    <w:rsid w:val="00175852"/>
    <w:rsid w:val="00176302"/>
    <w:rsid w:val="00184523"/>
    <w:rsid w:val="0018515B"/>
    <w:rsid w:val="001A0480"/>
    <w:rsid w:val="001B060D"/>
    <w:rsid w:val="001D768D"/>
    <w:rsid w:val="0020535F"/>
    <w:rsid w:val="00205F14"/>
    <w:rsid w:val="002063FE"/>
    <w:rsid w:val="00233E6A"/>
    <w:rsid w:val="002450DD"/>
    <w:rsid w:val="00257742"/>
    <w:rsid w:val="002674CB"/>
    <w:rsid w:val="00270F31"/>
    <w:rsid w:val="002726E0"/>
    <w:rsid w:val="002901F7"/>
    <w:rsid w:val="0029275B"/>
    <w:rsid w:val="00293CCE"/>
    <w:rsid w:val="002B02EC"/>
    <w:rsid w:val="002B57B1"/>
    <w:rsid w:val="002E2DDA"/>
    <w:rsid w:val="002F4FD9"/>
    <w:rsid w:val="002F5A84"/>
    <w:rsid w:val="002F6556"/>
    <w:rsid w:val="002F6E6F"/>
    <w:rsid w:val="0030722E"/>
    <w:rsid w:val="00323932"/>
    <w:rsid w:val="00324CD2"/>
    <w:rsid w:val="003266ED"/>
    <w:rsid w:val="0033349A"/>
    <w:rsid w:val="00347903"/>
    <w:rsid w:val="003504B4"/>
    <w:rsid w:val="0035701C"/>
    <w:rsid w:val="00370995"/>
    <w:rsid w:val="0038578A"/>
    <w:rsid w:val="003A7A67"/>
    <w:rsid w:val="003B014E"/>
    <w:rsid w:val="003B0719"/>
    <w:rsid w:val="003B15D8"/>
    <w:rsid w:val="003C5BE9"/>
    <w:rsid w:val="003D0EF7"/>
    <w:rsid w:val="003E2504"/>
    <w:rsid w:val="004055E3"/>
    <w:rsid w:val="00414C21"/>
    <w:rsid w:val="004176FA"/>
    <w:rsid w:val="004204FC"/>
    <w:rsid w:val="00423F51"/>
    <w:rsid w:val="004277E3"/>
    <w:rsid w:val="0043046F"/>
    <w:rsid w:val="00431AFC"/>
    <w:rsid w:val="00432E41"/>
    <w:rsid w:val="00433554"/>
    <w:rsid w:val="00433FC6"/>
    <w:rsid w:val="00434DF6"/>
    <w:rsid w:val="0044395E"/>
    <w:rsid w:val="00445BF5"/>
    <w:rsid w:val="00450EFF"/>
    <w:rsid w:val="00453A23"/>
    <w:rsid w:val="004546F3"/>
    <w:rsid w:val="0046743F"/>
    <w:rsid w:val="00471C10"/>
    <w:rsid w:val="00491324"/>
    <w:rsid w:val="004A3434"/>
    <w:rsid w:val="004A5EFE"/>
    <w:rsid w:val="004C0F85"/>
    <w:rsid w:val="004C5B35"/>
    <w:rsid w:val="004D68BA"/>
    <w:rsid w:val="004D7B8A"/>
    <w:rsid w:val="004E5345"/>
    <w:rsid w:val="00506B67"/>
    <w:rsid w:val="00512CCE"/>
    <w:rsid w:val="00530C56"/>
    <w:rsid w:val="00540D39"/>
    <w:rsid w:val="00542DFF"/>
    <w:rsid w:val="0054305E"/>
    <w:rsid w:val="005522BD"/>
    <w:rsid w:val="00557721"/>
    <w:rsid w:val="00560D62"/>
    <w:rsid w:val="00564AB6"/>
    <w:rsid w:val="005863DC"/>
    <w:rsid w:val="00595FF9"/>
    <w:rsid w:val="005A64CD"/>
    <w:rsid w:val="005F0964"/>
    <w:rsid w:val="005F3921"/>
    <w:rsid w:val="00603927"/>
    <w:rsid w:val="00634806"/>
    <w:rsid w:val="00641406"/>
    <w:rsid w:val="00646B64"/>
    <w:rsid w:val="00656C3F"/>
    <w:rsid w:val="00667674"/>
    <w:rsid w:val="0067231E"/>
    <w:rsid w:val="00674045"/>
    <w:rsid w:val="006801D2"/>
    <w:rsid w:val="0068174C"/>
    <w:rsid w:val="00696D04"/>
    <w:rsid w:val="006A62B2"/>
    <w:rsid w:val="006D28BD"/>
    <w:rsid w:val="006D6DB3"/>
    <w:rsid w:val="006E1924"/>
    <w:rsid w:val="006E582D"/>
    <w:rsid w:val="006F5AF5"/>
    <w:rsid w:val="006F794D"/>
    <w:rsid w:val="00722FBA"/>
    <w:rsid w:val="00725A35"/>
    <w:rsid w:val="00730BFA"/>
    <w:rsid w:val="00731F5C"/>
    <w:rsid w:val="00744EAA"/>
    <w:rsid w:val="00745196"/>
    <w:rsid w:val="00746585"/>
    <w:rsid w:val="00767E12"/>
    <w:rsid w:val="0077709D"/>
    <w:rsid w:val="00777D48"/>
    <w:rsid w:val="00777D63"/>
    <w:rsid w:val="00792AFE"/>
    <w:rsid w:val="007A225D"/>
    <w:rsid w:val="007A3A0A"/>
    <w:rsid w:val="007A4053"/>
    <w:rsid w:val="007B2C06"/>
    <w:rsid w:val="007C230D"/>
    <w:rsid w:val="007D5820"/>
    <w:rsid w:val="007E6DAC"/>
    <w:rsid w:val="007E7917"/>
    <w:rsid w:val="007F0980"/>
    <w:rsid w:val="007F0BEC"/>
    <w:rsid w:val="007F1439"/>
    <w:rsid w:val="007F36BB"/>
    <w:rsid w:val="00815F0C"/>
    <w:rsid w:val="00824CFD"/>
    <w:rsid w:val="008260CF"/>
    <w:rsid w:val="008318B2"/>
    <w:rsid w:val="0084790D"/>
    <w:rsid w:val="0086431C"/>
    <w:rsid w:val="00867070"/>
    <w:rsid w:val="00872830"/>
    <w:rsid w:val="008855EA"/>
    <w:rsid w:val="008877C5"/>
    <w:rsid w:val="00891158"/>
    <w:rsid w:val="00891958"/>
    <w:rsid w:val="00891ABB"/>
    <w:rsid w:val="008A4230"/>
    <w:rsid w:val="008A548A"/>
    <w:rsid w:val="008B50CE"/>
    <w:rsid w:val="008C2F91"/>
    <w:rsid w:val="008E383E"/>
    <w:rsid w:val="008E7B54"/>
    <w:rsid w:val="00900796"/>
    <w:rsid w:val="00923C15"/>
    <w:rsid w:val="009242C8"/>
    <w:rsid w:val="00934203"/>
    <w:rsid w:val="00951EB7"/>
    <w:rsid w:val="009524DA"/>
    <w:rsid w:val="00954486"/>
    <w:rsid w:val="0096133A"/>
    <w:rsid w:val="009636C1"/>
    <w:rsid w:val="00964509"/>
    <w:rsid w:val="00966866"/>
    <w:rsid w:val="00973E22"/>
    <w:rsid w:val="0098499B"/>
    <w:rsid w:val="009877F9"/>
    <w:rsid w:val="009B153E"/>
    <w:rsid w:val="009B2669"/>
    <w:rsid w:val="009B7D14"/>
    <w:rsid w:val="009C2BAF"/>
    <w:rsid w:val="009C5B0F"/>
    <w:rsid w:val="009C7941"/>
    <w:rsid w:val="009D39C6"/>
    <w:rsid w:val="009D41F7"/>
    <w:rsid w:val="00A123B8"/>
    <w:rsid w:val="00A14255"/>
    <w:rsid w:val="00A1532B"/>
    <w:rsid w:val="00A46845"/>
    <w:rsid w:val="00A71797"/>
    <w:rsid w:val="00A97ED3"/>
    <w:rsid w:val="00AB759E"/>
    <w:rsid w:val="00AC5022"/>
    <w:rsid w:val="00AD0D32"/>
    <w:rsid w:val="00AE50F2"/>
    <w:rsid w:val="00B03D02"/>
    <w:rsid w:val="00B11EE8"/>
    <w:rsid w:val="00B17076"/>
    <w:rsid w:val="00B32EA7"/>
    <w:rsid w:val="00B3473D"/>
    <w:rsid w:val="00B5083B"/>
    <w:rsid w:val="00B5764A"/>
    <w:rsid w:val="00B613CE"/>
    <w:rsid w:val="00B70309"/>
    <w:rsid w:val="00B72D35"/>
    <w:rsid w:val="00B77BF4"/>
    <w:rsid w:val="00BA71BE"/>
    <w:rsid w:val="00BB0210"/>
    <w:rsid w:val="00BB1564"/>
    <w:rsid w:val="00BC1D86"/>
    <w:rsid w:val="00BD6676"/>
    <w:rsid w:val="00BE44EE"/>
    <w:rsid w:val="00C07A26"/>
    <w:rsid w:val="00C10C8E"/>
    <w:rsid w:val="00C12C46"/>
    <w:rsid w:val="00C2736C"/>
    <w:rsid w:val="00C5154B"/>
    <w:rsid w:val="00C626AA"/>
    <w:rsid w:val="00C652FC"/>
    <w:rsid w:val="00C70559"/>
    <w:rsid w:val="00C742AD"/>
    <w:rsid w:val="00C83E3B"/>
    <w:rsid w:val="00C8475B"/>
    <w:rsid w:val="00C84FB6"/>
    <w:rsid w:val="00C92D31"/>
    <w:rsid w:val="00C97D84"/>
    <w:rsid w:val="00CC133A"/>
    <w:rsid w:val="00CD4A28"/>
    <w:rsid w:val="00D02EE8"/>
    <w:rsid w:val="00D31877"/>
    <w:rsid w:val="00D451C4"/>
    <w:rsid w:val="00D507FD"/>
    <w:rsid w:val="00D53861"/>
    <w:rsid w:val="00D55B4C"/>
    <w:rsid w:val="00D576D8"/>
    <w:rsid w:val="00D613FC"/>
    <w:rsid w:val="00D629FB"/>
    <w:rsid w:val="00D81DEC"/>
    <w:rsid w:val="00D834B4"/>
    <w:rsid w:val="00D848C9"/>
    <w:rsid w:val="00D851DC"/>
    <w:rsid w:val="00D86288"/>
    <w:rsid w:val="00D90D1B"/>
    <w:rsid w:val="00DA43A4"/>
    <w:rsid w:val="00DA6903"/>
    <w:rsid w:val="00DB3FA3"/>
    <w:rsid w:val="00DB5147"/>
    <w:rsid w:val="00DC0308"/>
    <w:rsid w:val="00DD1560"/>
    <w:rsid w:val="00DF32F4"/>
    <w:rsid w:val="00E25D38"/>
    <w:rsid w:val="00E54C6F"/>
    <w:rsid w:val="00E57344"/>
    <w:rsid w:val="00E62B75"/>
    <w:rsid w:val="00E6533F"/>
    <w:rsid w:val="00E76E7A"/>
    <w:rsid w:val="00E848C7"/>
    <w:rsid w:val="00E93E17"/>
    <w:rsid w:val="00E9620F"/>
    <w:rsid w:val="00EA620E"/>
    <w:rsid w:val="00EA64A4"/>
    <w:rsid w:val="00EB2060"/>
    <w:rsid w:val="00EB2A2A"/>
    <w:rsid w:val="00EB554C"/>
    <w:rsid w:val="00EC2C65"/>
    <w:rsid w:val="00EC69A4"/>
    <w:rsid w:val="00ED51F8"/>
    <w:rsid w:val="00EE23ED"/>
    <w:rsid w:val="00F06B7C"/>
    <w:rsid w:val="00F07677"/>
    <w:rsid w:val="00F1581C"/>
    <w:rsid w:val="00F30AE7"/>
    <w:rsid w:val="00F32C3E"/>
    <w:rsid w:val="00F330EC"/>
    <w:rsid w:val="00F40F5D"/>
    <w:rsid w:val="00F41971"/>
    <w:rsid w:val="00F42D27"/>
    <w:rsid w:val="00F44EA9"/>
    <w:rsid w:val="00F510BF"/>
    <w:rsid w:val="00F562D5"/>
    <w:rsid w:val="00F60D05"/>
    <w:rsid w:val="00F64FB2"/>
    <w:rsid w:val="00F72F2A"/>
    <w:rsid w:val="00F8292D"/>
    <w:rsid w:val="00F9247C"/>
    <w:rsid w:val="00F95293"/>
    <w:rsid w:val="00F9639F"/>
    <w:rsid w:val="00FA040F"/>
    <w:rsid w:val="00FA6AC3"/>
    <w:rsid w:val="00FB4FEE"/>
    <w:rsid w:val="00FB56AB"/>
    <w:rsid w:val="00FB5E0D"/>
    <w:rsid w:val="00FC2CA7"/>
    <w:rsid w:val="00FC7112"/>
    <w:rsid w:val="00FD372E"/>
    <w:rsid w:val="00FE55FD"/>
    <w:rsid w:val="00FF1A08"/>
    <w:rsid w:val="00FF3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71188C-D1F8-4C31-915A-0C07F303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0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64509"/>
    <w:pPr>
      <w:keepNext/>
      <w:spacing w:after="1800"/>
      <w:ind w:firstLine="720"/>
      <w:outlineLvl w:val="2"/>
    </w:pPr>
    <w:rPr>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4509"/>
    <w:rPr>
      <w:rFonts w:ascii="Times New Roman" w:eastAsia="Times New Roman" w:hAnsi="Times New Roman" w:cs="Times New Roman"/>
      <w:sz w:val="24"/>
      <w:szCs w:val="20"/>
      <w:lang w:eastAsia="lt-LT"/>
    </w:rPr>
  </w:style>
  <w:style w:type="paragraph" w:customStyle="1" w:styleId="Default">
    <w:name w:val="Default"/>
    <w:rsid w:val="009645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620F"/>
    <w:pPr>
      <w:ind w:left="720"/>
      <w:contextualSpacing/>
    </w:pPr>
  </w:style>
  <w:style w:type="table" w:styleId="TableGrid">
    <w:name w:val="Table Grid"/>
    <w:basedOn w:val="TableNormal"/>
    <w:uiPriority w:val="39"/>
    <w:rsid w:val="0095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3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F1439"/>
    <w:rPr>
      <w:sz w:val="16"/>
      <w:szCs w:val="16"/>
    </w:rPr>
  </w:style>
  <w:style w:type="paragraph" w:styleId="CommentText">
    <w:name w:val="annotation text"/>
    <w:basedOn w:val="Normal"/>
    <w:link w:val="CommentTextChar"/>
    <w:uiPriority w:val="99"/>
    <w:semiHidden/>
    <w:unhideWhenUsed/>
    <w:rsid w:val="007F1439"/>
    <w:rPr>
      <w:sz w:val="20"/>
      <w:szCs w:val="20"/>
    </w:rPr>
  </w:style>
  <w:style w:type="character" w:customStyle="1" w:styleId="CommentTextChar">
    <w:name w:val="Comment Text Char"/>
    <w:basedOn w:val="DefaultParagraphFont"/>
    <w:link w:val="CommentText"/>
    <w:uiPriority w:val="99"/>
    <w:semiHidden/>
    <w:rsid w:val="007F14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439"/>
    <w:rPr>
      <w:b/>
      <w:bCs/>
    </w:rPr>
  </w:style>
  <w:style w:type="character" w:customStyle="1" w:styleId="CommentSubjectChar">
    <w:name w:val="Comment Subject Char"/>
    <w:basedOn w:val="CommentTextChar"/>
    <w:link w:val="CommentSubject"/>
    <w:uiPriority w:val="99"/>
    <w:semiHidden/>
    <w:rsid w:val="007F143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330EC"/>
    <w:pPr>
      <w:tabs>
        <w:tab w:val="center" w:pos="4819"/>
        <w:tab w:val="right" w:pos="9638"/>
      </w:tabs>
    </w:pPr>
  </w:style>
  <w:style w:type="character" w:customStyle="1" w:styleId="HeaderChar">
    <w:name w:val="Header Char"/>
    <w:basedOn w:val="DefaultParagraphFont"/>
    <w:link w:val="Header"/>
    <w:uiPriority w:val="99"/>
    <w:rsid w:val="00F330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0EC"/>
    <w:pPr>
      <w:tabs>
        <w:tab w:val="center" w:pos="4819"/>
        <w:tab w:val="right" w:pos="9638"/>
      </w:tabs>
    </w:pPr>
  </w:style>
  <w:style w:type="character" w:customStyle="1" w:styleId="FooterChar">
    <w:name w:val="Footer Char"/>
    <w:basedOn w:val="DefaultParagraphFont"/>
    <w:link w:val="Footer"/>
    <w:uiPriority w:val="99"/>
    <w:rsid w:val="00F330EC"/>
    <w:rPr>
      <w:rFonts w:ascii="Times New Roman" w:eastAsia="Times New Roman" w:hAnsi="Times New Roman" w:cs="Times New Roman"/>
      <w:sz w:val="24"/>
      <w:szCs w:val="24"/>
    </w:rPr>
  </w:style>
  <w:style w:type="paragraph" w:styleId="Revision">
    <w:name w:val="Revision"/>
    <w:hidden/>
    <w:uiPriority w:val="99"/>
    <w:semiHidden/>
    <w:rsid w:val="00C515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847">
      <w:bodyDiv w:val="1"/>
      <w:marLeft w:val="0"/>
      <w:marRight w:val="0"/>
      <w:marTop w:val="0"/>
      <w:marBottom w:val="0"/>
      <w:divBdr>
        <w:top w:val="none" w:sz="0" w:space="0" w:color="auto"/>
        <w:left w:val="none" w:sz="0" w:space="0" w:color="auto"/>
        <w:bottom w:val="none" w:sz="0" w:space="0" w:color="auto"/>
        <w:right w:val="none" w:sz="0" w:space="0" w:color="auto"/>
      </w:divBdr>
    </w:div>
    <w:div w:id="181018035">
      <w:bodyDiv w:val="1"/>
      <w:marLeft w:val="0"/>
      <w:marRight w:val="0"/>
      <w:marTop w:val="0"/>
      <w:marBottom w:val="0"/>
      <w:divBdr>
        <w:top w:val="none" w:sz="0" w:space="0" w:color="auto"/>
        <w:left w:val="none" w:sz="0" w:space="0" w:color="auto"/>
        <w:bottom w:val="none" w:sz="0" w:space="0" w:color="auto"/>
        <w:right w:val="none" w:sz="0" w:space="0" w:color="auto"/>
      </w:divBdr>
    </w:div>
    <w:div w:id="893615386">
      <w:bodyDiv w:val="1"/>
      <w:marLeft w:val="0"/>
      <w:marRight w:val="0"/>
      <w:marTop w:val="0"/>
      <w:marBottom w:val="0"/>
      <w:divBdr>
        <w:top w:val="none" w:sz="0" w:space="0" w:color="auto"/>
        <w:left w:val="none" w:sz="0" w:space="0" w:color="auto"/>
        <w:bottom w:val="none" w:sz="0" w:space="0" w:color="auto"/>
        <w:right w:val="none" w:sz="0" w:space="0" w:color="auto"/>
      </w:divBdr>
    </w:div>
    <w:div w:id="922690264">
      <w:bodyDiv w:val="1"/>
      <w:marLeft w:val="0"/>
      <w:marRight w:val="0"/>
      <w:marTop w:val="0"/>
      <w:marBottom w:val="0"/>
      <w:divBdr>
        <w:top w:val="none" w:sz="0" w:space="0" w:color="auto"/>
        <w:left w:val="none" w:sz="0" w:space="0" w:color="auto"/>
        <w:bottom w:val="none" w:sz="0" w:space="0" w:color="auto"/>
        <w:right w:val="none" w:sz="0" w:space="0" w:color="auto"/>
      </w:divBdr>
    </w:div>
    <w:div w:id="1052002152">
      <w:bodyDiv w:val="1"/>
      <w:marLeft w:val="0"/>
      <w:marRight w:val="0"/>
      <w:marTop w:val="0"/>
      <w:marBottom w:val="0"/>
      <w:divBdr>
        <w:top w:val="none" w:sz="0" w:space="0" w:color="auto"/>
        <w:left w:val="none" w:sz="0" w:space="0" w:color="auto"/>
        <w:bottom w:val="none" w:sz="0" w:space="0" w:color="auto"/>
        <w:right w:val="none" w:sz="0" w:space="0" w:color="auto"/>
      </w:divBdr>
    </w:div>
    <w:div w:id="1261522898">
      <w:bodyDiv w:val="1"/>
      <w:marLeft w:val="0"/>
      <w:marRight w:val="0"/>
      <w:marTop w:val="0"/>
      <w:marBottom w:val="0"/>
      <w:divBdr>
        <w:top w:val="none" w:sz="0" w:space="0" w:color="auto"/>
        <w:left w:val="none" w:sz="0" w:space="0" w:color="auto"/>
        <w:bottom w:val="none" w:sz="0" w:space="0" w:color="auto"/>
        <w:right w:val="none" w:sz="0" w:space="0" w:color="auto"/>
      </w:divBdr>
    </w:div>
    <w:div w:id="1514606417">
      <w:bodyDiv w:val="1"/>
      <w:marLeft w:val="0"/>
      <w:marRight w:val="0"/>
      <w:marTop w:val="0"/>
      <w:marBottom w:val="0"/>
      <w:divBdr>
        <w:top w:val="none" w:sz="0" w:space="0" w:color="auto"/>
        <w:left w:val="none" w:sz="0" w:space="0" w:color="auto"/>
        <w:bottom w:val="none" w:sz="0" w:space="0" w:color="auto"/>
        <w:right w:val="none" w:sz="0" w:space="0" w:color="auto"/>
      </w:divBdr>
    </w:div>
    <w:div w:id="1754204456">
      <w:bodyDiv w:val="1"/>
      <w:marLeft w:val="0"/>
      <w:marRight w:val="0"/>
      <w:marTop w:val="0"/>
      <w:marBottom w:val="0"/>
      <w:divBdr>
        <w:top w:val="none" w:sz="0" w:space="0" w:color="auto"/>
        <w:left w:val="none" w:sz="0" w:space="0" w:color="auto"/>
        <w:bottom w:val="none" w:sz="0" w:space="0" w:color="auto"/>
        <w:right w:val="none" w:sz="0" w:space="0" w:color="auto"/>
      </w:divBdr>
    </w:div>
    <w:div w:id="18366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2459</Words>
  <Characters>14021</Characters>
  <Application>Microsoft Office Word</Application>
  <DocSecurity>0</DocSecurity>
  <Lines>116</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Daukintytė</dc:creator>
  <cp:keywords/>
  <dc:description/>
  <cp:lastModifiedBy>Kristina Urbonaitė</cp:lastModifiedBy>
  <cp:revision>2</cp:revision>
  <cp:lastPrinted>2018-10-05T05:00:00Z</cp:lastPrinted>
  <dcterms:created xsi:type="dcterms:W3CDTF">2019-02-27T10:43:00Z</dcterms:created>
  <dcterms:modified xsi:type="dcterms:W3CDTF">2019-02-27T10:43:00Z</dcterms:modified>
</cp:coreProperties>
</file>